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C1865" w14:textId="77777777" w:rsidR="00510D38" w:rsidRDefault="00000000">
      <w:pPr>
        <w:spacing w:after="80"/>
      </w:pPr>
      <w:r>
        <w:rPr>
          <w:color w:val="6B635D"/>
          <w:spacing w:val="40"/>
          <w:sz w:val="16"/>
          <w:szCs w:val="16"/>
        </w:rPr>
        <w:t>EUIPO — IP-Backed Finance Report 2026  •  Volledige Juridische Analyse</w:t>
      </w:r>
    </w:p>
    <w:p w14:paraId="3A40A552" w14:textId="77777777" w:rsidR="00510D38" w:rsidRDefault="00000000">
      <w:pPr>
        <w:spacing w:after="80"/>
      </w:pPr>
      <w:r>
        <w:rPr>
          <w:color w:val="6B635D"/>
          <w:spacing w:val="40"/>
          <w:sz w:val="16"/>
          <w:szCs w:val="16"/>
        </w:rPr>
        <w:t>ANALYSE  •  INTELLECTUEEL EIGENDOM  •  EUROPESE FINANCIERING</w:t>
      </w:r>
    </w:p>
    <w:p w14:paraId="5D131154" w14:textId="77777777" w:rsidR="00510D38" w:rsidRDefault="00510D38">
      <w:pPr>
        <w:spacing w:before="80"/>
      </w:pPr>
    </w:p>
    <w:p w14:paraId="3F8CBBDA" w14:textId="77777777" w:rsidR="00510D38" w:rsidRDefault="00000000">
      <w:pPr>
        <w:spacing w:after="160"/>
      </w:pPr>
      <w:r>
        <w:rPr>
          <w:rFonts w:ascii="Georgia" w:eastAsia="Georgia" w:hAnsi="Georgia" w:cs="Georgia"/>
          <w:b/>
          <w:bCs/>
          <w:color w:val="1A1614"/>
          <w:sz w:val="52"/>
          <w:szCs w:val="52"/>
        </w:rPr>
        <w:t xml:space="preserve">Intellectueel Eigendom als </w:t>
      </w:r>
      <w:r>
        <w:rPr>
          <w:rFonts w:ascii="Georgia" w:eastAsia="Georgia" w:hAnsi="Georgia" w:cs="Georgia"/>
          <w:b/>
          <w:bCs/>
          <w:i/>
          <w:iCs/>
          <w:color w:val="8B3A2A"/>
          <w:sz w:val="52"/>
          <w:szCs w:val="52"/>
        </w:rPr>
        <w:t>Financieringsgrondslag</w:t>
      </w:r>
      <w:r>
        <w:rPr>
          <w:rFonts w:ascii="Georgia" w:eastAsia="Georgia" w:hAnsi="Georgia" w:cs="Georgia"/>
          <w:b/>
          <w:bCs/>
          <w:color w:val="1A1614"/>
          <w:sz w:val="52"/>
          <w:szCs w:val="52"/>
        </w:rPr>
        <w:t xml:space="preserve"> in Europa</w:t>
      </w:r>
    </w:p>
    <w:p w14:paraId="150F6919" w14:textId="77777777" w:rsidR="00510D38" w:rsidRDefault="00000000">
      <w:pPr>
        <w:spacing w:after="80"/>
      </w:pPr>
      <w:r>
        <w:rPr>
          <w:rFonts w:ascii="Georgia" w:eastAsia="Georgia" w:hAnsi="Georgia" w:cs="Georgia"/>
          <w:i/>
          <w:iCs/>
          <w:color w:val="6B635D"/>
        </w:rPr>
        <w:t>Een analyse van het EUIPO-rapport: barrières, kansen en juridische hervormingen voor IP-gedekte financiering (2026)</w:t>
      </w:r>
    </w:p>
    <w:p w14:paraId="0B3FA1D4" w14:textId="77777777" w:rsidR="00510D38" w:rsidRDefault="00000000">
      <w:pPr>
        <w:pBdr>
          <w:bottom w:val="single" w:sz="4" w:space="0" w:color="D6CFC8"/>
        </w:pBdr>
        <w:spacing w:after="400"/>
      </w:pPr>
      <w:r>
        <w:rPr>
          <w:color w:val="6B635D"/>
          <w:sz w:val="19"/>
          <w:szCs w:val="19"/>
        </w:rPr>
        <w:t xml:space="preserve">Bron: </w:t>
      </w:r>
      <w:r>
        <w:rPr>
          <w:b/>
          <w:bCs/>
          <w:color w:val="8B3A2A"/>
          <w:sz w:val="19"/>
          <w:szCs w:val="19"/>
        </w:rPr>
        <w:t>EUIPO – European Union Intellectual Property Office</w:t>
      </w:r>
      <w:r>
        <w:rPr>
          <w:color w:val="6B635D"/>
          <w:sz w:val="19"/>
          <w:szCs w:val="19"/>
        </w:rPr>
        <w:t xml:space="preserve">   |   Rapport: april 2026   |   Analyse: april 2026</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10D38" w14:paraId="0006CA2D" w14:textId="77777777">
        <w:tblPrEx>
          <w:tblCellMar>
            <w:top w:w="0" w:type="dxa"/>
            <w:bottom w:w="0" w:type="dxa"/>
          </w:tblCellMar>
        </w:tblPrEx>
        <w:tc>
          <w:tcPr>
            <w:tcW w:w="9026" w:type="dxa"/>
            <w:tcBorders>
              <w:top w:val="none" w:sz="0" w:space="0" w:color="FFFFFF"/>
              <w:left w:val="single" w:sz="16" w:space="0" w:color="8B3A2A"/>
              <w:bottom w:val="none" w:sz="0" w:space="0" w:color="FFFFFF"/>
              <w:right w:val="none" w:sz="0" w:space="0" w:color="FFFFFF"/>
            </w:tcBorders>
            <w:shd w:val="clear" w:color="auto" w:fill="FFFFFF"/>
            <w:tcMar>
              <w:top w:w="120" w:type="dxa"/>
              <w:left w:w="240" w:type="dxa"/>
              <w:bottom w:w="120" w:type="dxa"/>
              <w:right w:w="0" w:type="dxa"/>
            </w:tcMar>
          </w:tcPr>
          <w:p w14:paraId="232FE8E8" w14:textId="39BBE287" w:rsidR="00510D38" w:rsidRDefault="00000000">
            <w:r>
              <w:rPr>
                <w:rFonts w:ascii="Georgia" w:eastAsia="Georgia" w:hAnsi="Georgia" w:cs="Georgia"/>
                <w:color w:val="3D3530"/>
                <w:sz w:val="23"/>
                <w:szCs w:val="23"/>
              </w:rPr>
              <w:t xml:space="preserve">Europa kampt met een groeiende productiviteits- en innovatiekloof. Terwijl Europese bedrijven wereldwijd toonaangevend zijn in het ontwikkelen van nieuwe ideeën, lukt het zelden om die ideeën om te zetten in schaalbare ondernemingen. De ontbrekende schakel is niet talent of technologie — het is financiering. </w:t>
            </w:r>
            <w:r w:rsidR="006F601E">
              <w:rPr>
                <w:rFonts w:ascii="Georgia" w:eastAsia="Georgia" w:hAnsi="Georgia" w:cs="Georgia"/>
                <w:color w:val="3D3530"/>
                <w:sz w:val="23"/>
                <w:szCs w:val="23"/>
              </w:rPr>
              <w:t>C</w:t>
            </w:r>
            <w:r>
              <w:rPr>
                <w:rFonts w:ascii="Georgia" w:eastAsia="Georgia" w:hAnsi="Georgia" w:cs="Georgia"/>
                <w:color w:val="3D3530"/>
                <w:sz w:val="23"/>
                <w:szCs w:val="23"/>
              </w:rPr>
              <w:t>entraal in die financieringsuitdaging staat een onbenut vermogen: intellectueel eigendom.</w:t>
            </w:r>
          </w:p>
        </w:tc>
      </w:tr>
    </w:tbl>
    <w:p w14:paraId="1F86D52D" w14:textId="77777777" w:rsidR="00510D38" w:rsidRDefault="00510D38">
      <w:pPr>
        <w:spacing w:before="200"/>
      </w:pPr>
    </w:p>
    <w:p w14:paraId="12ACD500" w14:textId="08BCA0AB" w:rsidR="00510D38" w:rsidRDefault="00000000">
      <w:pPr>
        <w:spacing w:after="180"/>
        <w:jc w:val="both"/>
      </w:pPr>
      <w:r>
        <w:rPr>
          <w:color w:val="3D3530"/>
        </w:rPr>
        <w:t>In april 2026 publiceerde het EUIPO (het Bureau voor intellectuele eigendom van de Europese Unie) een uitgebreid beleidsrapport over IP-gedekte financiering in Europa. Het rapport bouwt voort op het debat dat is aangewakkerd door de rapporten-Draghi en -Letta uit 2024, en schetst zowel de structurele belemmeringen als een reeks concrete beleidsaanbevelingen. Deze analyse geeft een volledig en juridisch nauwkeurig overzicht van de bevindingen, verrijkt met de relevante Unierechtelijke context.  Het rapport hanteert een bewust nauwe definitie van IP-backed finance: het betreft externe financiering waarbij IE-activa als asset in de financieringsstructuur fungeren, terwijl de onderneming de strategische controle over die activa behoudt. Licensing — waarbij IE-rechten worden aangewend als directe bron van inkomsten — valt nadrukkelijk buiten deze kernscope. Deze afbakening is juridisch relevant: zij onderscheidt zekerheidsrechten op IE (onderpand, garantie) van exploitatierechten op IE (licentie), en bepaalt daarmee welke prudentiële</w:t>
      </w:r>
      <w:r w:rsidR="00E3185B">
        <w:rPr>
          <w:color w:val="3D3530"/>
        </w:rPr>
        <w:t>a</w:t>
      </w:r>
      <w:r>
        <w:rPr>
          <w:color w:val="3D3530"/>
        </w:rPr>
        <w:t xml:space="preserve"> en contractuele vraagstukken van toepassing zijn.</w:t>
      </w:r>
    </w:p>
    <w:p w14:paraId="0B742437" w14:textId="77777777" w:rsidR="00510D38" w:rsidRDefault="00000000">
      <w:pPr>
        <w:pStyle w:val="Kop1"/>
        <w:pBdr>
          <w:top w:val="single" w:sz="12" w:space="0" w:color="1A1614"/>
        </w:pBdr>
      </w:pPr>
      <w:r>
        <w:t>1. De Europese innovatiekloof: feiten en context</w:t>
      </w:r>
    </w:p>
    <w:p w14:paraId="019E02D6" w14:textId="77777777" w:rsidR="00510D38" w:rsidRDefault="00000000">
      <w:pPr>
        <w:spacing w:after="180"/>
        <w:jc w:val="both"/>
      </w:pPr>
      <w:r>
        <w:rPr>
          <w:color w:val="3D3530"/>
        </w:rPr>
        <w:t>De productiviteitskloof tussen de EU en de VS is de afgelopen twee decennia aanzienlijk toegenomen: van 17% in 2002 tot 30% in 2023. Circa 70% van dit verschil hangt samen met productiviteitsachterstanden. Terwijl de productiviteitsgroei per werknemer in de VS tussen 2019 en 2025 gemiddeld 1,6% per jaar bedroeg, bleef Europa steken op slechts 0,5%.</w:t>
      </w:r>
    </w:p>
    <w:p w14:paraId="25DF8FB4" w14:textId="77777777" w:rsidR="00510D38" w:rsidRDefault="00510D38">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6"/>
        <w:gridCol w:w="2257"/>
        <w:gridCol w:w="2257"/>
      </w:tblGrid>
      <w:tr w:rsidR="00510D38" w14:paraId="620B00E9" w14:textId="77777777">
        <w:tblPrEx>
          <w:tblCellMar>
            <w:top w:w="0" w:type="dxa"/>
            <w:bottom w:w="0" w:type="dxa"/>
          </w:tblCellMar>
        </w:tblPrEx>
        <w:tc>
          <w:tcPr>
            <w:tcW w:w="2256" w:type="dxa"/>
            <w:tcBorders>
              <w:top w:val="single" w:sz="12" w:space="0" w:color="8B3A2A"/>
              <w:left w:val="none" w:sz="0" w:space="0" w:color="FFFFFF"/>
              <w:bottom w:val="none" w:sz="0" w:space="0" w:color="FFFFFF"/>
              <w:right w:val="none" w:sz="0" w:space="0" w:color="FFFFFF"/>
            </w:tcBorders>
            <w:shd w:val="clear" w:color="auto" w:fill="F5EDE9"/>
            <w:tcMar>
              <w:top w:w="120" w:type="dxa"/>
              <w:left w:w="120" w:type="dxa"/>
              <w:bottom w:w="120" w:type="dxa"/>
              <w:right w:w="120" w:type="dxa"/>
            </w:tcMar>
          </w:tcPr>
          <w:p w14:paraId="0C98BC92" w14:textId="77777777" w:rsidR="00510D38" w:rsidRDefault="00000000">
            <w:pPr>
              <w:spacing w:after="60"/>
            </w:pPr>
            <w:r>
              <w:rPr>
                <w:rFonts w:ascii="Georgia" w:eastAsia="Georgia" w:hAnsi="Georgia" w:cs="Georgia"/>
                <w:b/>
                <w:bCs/>
                <w:color w:val="8B3A2A"/>
                <w:sz w:val="40"/>
                <w:szCs w:val="40"/>
              </w:rPr>
              <w:t>30%</w:t>
            </w:r>
          </w:p>
          <w:p w14:paraId="5A86D34A" w14:textId="77777777" w:rsidR="00510D38" w:rsidRDefault="00000000">
            <w:r>
              <w:rPr>
                <w:color w:val="6B635D"/>
                <w:sz w:val="18"/>
                <w:szCs w:val="18"/>
              </w:rPr>
              <w:t>EU–VS productiviteitskloof in 2023 (was 17% in 2002)</w:t>
            </w:r>
          </w:p>
        </w:tc>
        <w:tc>
          <w:tcPr>
            <w:tcW w:w="2256" w:type="dxa"/>
            <w:tcBorders>
              <w:top w:val="single" w:sz="12" w:space="0" w:color="8B3A2A"/>
              <w:left w:val="none" w:sz="0" w:space="0" w:color="FFFFFF"/>
              <w:bottom w:val="none" w:sz="0" w:space="0" w:color="FFFFFF"/>
              <w:right w:val="none" w:sz="0" w:space="0" w:color="FFFFFF"/>
            </w:tcBorders>
            <w:shd w:val="clear" w:color="auto" w:fill="F5EDE9"/>
            <w:tcMar>
              <w:top w:w="120" w:type="dxa"/>
              <w:left w:w="120" w:type="dxa"/>
              <w:bottom w:w="120" w:type="dxa"/>
              <w:right w:w="120" w:type="dxa"/>
            </w:tcMar>
          </w:tcPr>
          <w:p w14:paraId="0164A075" w14:textId="77777777" w:rsidR="00510D38" w:rsidRDefault="00000000">
            <w:pPr>
              <w:spacing w:after="60"/>
            </w:pPr>
            <w:r>
              <w:rPr>
                <w:rFonts w:ascii="Georgia" w:eastAsia="Georgia" w:hAnsi="Georgia" w:cs="Georgia"/>
                <w:b/>
                <w:bCs/>
                <w:color w:val="8B3A2A"/>
                <w:sz w:val="40"/>
                <w:szCs w:val="40"/>
              </w:rPr>
              <w:t>2,24%</w:t>
            </w:r>
          </w:p>
          <w:p w14:paraId="0C6C46C7" w14:textId="77777777" w:rsidR="00510D38" w:rsidRDefault="00000000">
            <w:r>
              <w:rPr>
                <w:color w:val="6B635D"/>
                <w:sz w:val="18"/>
                <w:szCs w:val="18"/>
              </w:rPr>
              <w:t>EU R&amp;D-uitgaven als % van BBP (VS: 3,59%; Zuid-Korea: 5,21%)</w:t>
            </w:r>
          </w:p>
        </w:tc>
        <w:tc>
          <w:tcPr>
            <w:tcW w:w="2256" w:type="dxa"/>
            <w:tcBorders>
              <w:top w:val="single" w:sz="12" w:space="0" w:color="8B3A2A"/>
              <w:left w:val="none" w:sz="0" w:space="0" w:color="FFFFFF"/>
              <w:bottom w:val="none" w:sz="0" w:space="0" w:color="FFFFFF"/>
              <w:right w:val="none" w:sz="0" w:space="0" w:color="FFFFFF"/>
            </w:tcBorders>
            <w:shd w:val="clear" w:color="auto" w:fill="F5EDE9"/>
            <w:tcMar>
              <w:top w:w="120" w:type="dxa"/>
              <w:left w:w="120" w:type="dxa"/>
              <w:bottom w:w="120" w:type="dxa"/>
              <w:right w:w="120" w:type="dxa"/>
            </w:tcMar>
          </w:tcPr>
          <w:p w14:paraId="30E40275" w14:textId="77777777" w:rsidR="00510D38" w:rsidRDefault="00000000">
            <w:pPr>
              <w:spacing w:after="60"/>
            </w:pPr>
            <w:r>
              <w:rPr>
                <w:rFonts w:ascii="Georgia" w:eastAsia="Georgia" w:hAnsi="Georgia" w:cs="Georgia"/>
                <w:b/>
                <w:bCs/>
                <w:color w:val="8B3A2A"/>
                <w:sz w:val="40"/>
                <w:szCs w:val="40"/>
              </w:rPr>
              <w:t>48%</w:t>
            </w:r>
          </w:p>
          <w:p w14:paraId="363F1065" w14:textId="77777777" w:rsidR="00510D38" w:rsidRDefault="00000000">
            <w:r>
              <w:rPr>
                <w:color w:val="6B635D"/>
                <w:sz w:val="18"/>
                <w:szCs w:val="18"/>
              </w:rPr>
              <w:t>Bijdrage van IE-intensieve sectoren aan het EU-BBP</w:t>
            </w:r>
          </w:p>
        </w:tc>
        <w:tc>
          <w:tcPr>
            <w:tcW w:w="2256" w:type="dxa"/>
            <w:tcBorders>
              <w:top w:val="single" w:sz="12" w:space="0" w:color="8B3A2A"/>
              <w:left w:val="none" w:sz="0" w:space="0" w:color="FFFFFF"/>
              <w:bottom w:val="none" w:sz="0" w:space="0" w:color="FFFFFF"/>
              <w:right w:val="none" w:sz="0" w:space="0" w:color="FFFFFF"/>
            </w:tcBorders>
            <w:shd w:val="clear" w:color="auto" w:fill="F5EDE9"/>
            <w:tcMar>
              <w:top w:w="120" w:type="dxa"/>
              <w:left w:w="120" w:type="dxa"/>
              <w:bottom w:w="120" w:type="dxa"/>
              <w:right w:w="120" w:type="dxa"/>
            </w:tcMar>
          </w:tcPr>
          <w:p w14:paraId="2C64B245" w14:textId="77777777" w:rsidR="00510D38" w:rsidRDefault="00000000">
            <w:pPr>
              <w:spacing w:after="60"/>
            </w:pPr>
            <w:r>
              <w:rPr>
                <w:rFonts w:ascii="Georgia" w:eastAsia="Georgia" w:hAnsi="Georgia" w:cs="Georgia"/>
                <w:b/>
                <w:bCs/>
                <w:color w:val="8B3A2A"/>
                <w:sz w:val="40"/>
                <w:szCs w:val="40"/>
              </w:rPr>
              <w:t>31%</w:t>
            </w:r>
          </w:p>
          <w:p w14:paraId="2E17CC72" w14:textId="77777777" w:rsidR="00510D38" w:rsidRDefault="00000000">
            <w:r>
              <w:rPr>
                <w:color w:val="6B635D"/>
                <w:sz w:val="18"/>
                <w:szCs w:val="18"/>
              </w:rPr>
              <w:t>Aandeel van IE-intensieve sectoren in EU-werkgelegenheid</w:t>
            </w:r>
          </w:p>
        </w:tc>
      </w:tr>
    </w:tbl>
    <w:p w14:paraId="5B2EE021" w14:textId="77777777" w:rsidR="00510D38" w:rsidRDefault="00510D38">
      <w:pPr>
        <w:spacing w:before="160"/>
      </w:pPr>
    </w:p>
    <w:p w14:paraId="30594B00" w14:textId="545BB7F0" w:rsidR="00510D38" w:rsidRDefault="00000000">
      <w:pPr>
        <w:spacing w:after="180"/>
        <w:jc w:val="both"/>
      </w:pPr>
      <w:r>
        <w:rPr>
          <w:color w:val="3D3530"/>
        </w:rPr>
        <w:lastRenderedPageBreak/>
        <w:t xml:space="preserve">Europa slaagt er goed in innovaties te genereren, maar de omzetting naar de markt verloopt traag. </w:t>
      </w:r>
      <w:r w:rsidR="006F601E">
        <w:rPr>
          <w:color w:val="3D3530"/>
        </w:rPr>
        <w:t>O</w:t>
      </w:r>
      <w:r>
        <w:rPr>
          <w:color w:val="3D3530"/>
        </w:rPr>
        <w:t>ngeveer een derde van de Europese universitaire patenten wordt commercieel benut. Het aandeel Europese bedrijven dat investeert in de ontwikkeling van nieuwe producten en diensten ligt op 39%, tegenover 57% in de VS — een kloof die sinds 2021 meer dan verdubbeld is.</w:t>
      </w:r>
    </w:p>
    <w:p w14:paraId="6C9EFFE3" w14:textId="77777777" w:rsidR="00510D38" w:rsidRDefault="00510D38">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10D38" w14:paraId="5DE70B2A" w14:textId="77777777">
        <w:tblPrEx>
          <w:tblCellMar>
            <w:top w:w="0" w:type="dxa"/>
            <w:bottom w:w="0" w:type="dxa"/>
          </w:tblCellMar>
        </w:tblPrEx>
        <w:tc>
          <w:tcPr>
            <w:tcW w:w="9026" w:type="dxa"/>
            <w:tcBorders>
              <w:top w:val="none" w:sz="0" w:space="0" w:color="FFFFFF"/>
              <w:left w:val="single" w:sz="20" w:space="0" w:color="B8892A"/>
              <w:bottom w:val="none" w:sz="0" w:space="0" w:color="FFFFFF"/>
              <w:right w:val="none" w:sz="0" w:space="0" w:color="FFFFFF"/>
            </w:tcBorders>
            <w:shd w:val="clear" w:color="auto" w:fill="F2EDE6"/>
            <w:tcMar>
              <w:top w:w="160" w:type="dxa"/>
              <w:left w:w="280" w:type="dxa"/>
              <w:bottom w:w="160" w:type="dxa"/>
              <w:right w:w="160" w:type="dxa"/>
            </w:tcMar>
          </w:tcPr>
          <w:p w14:paraId="2ACB8CD8" w14:textId="77777777" w:rsidR="00510D38" w:rsidRDefault="00000000">
            <w:r>
              <w:rPr>
                <w:rFonts w:ascii="Georgia" w:eastAsia="Georgia" w:hAnsi="Georgia" w:cs="Georgia"/>
                <w:i/>
                <w:iCs/>
                <w:color w:val="1A1614"/>
                <w:sz w:val="24"/>
                <w:szCs w:val="24"/>
              </w:rPr>
              <w:t>In de afgelopen vijftig jaar is er in Europa geen enkel bedrijf met een waarde van meer dan 100 miljard euro ontstaan, terwijl in dezelfde periode zes Amerikaanse bedrijven de grens van 1 biljoen dollar overschreden. Slechts vier van de vijftig grootste technologiebedrijven ter wereld zijn Europees.</w:t>
            </w:r>
          </w:p>
        </w:tc>
      </w:tr>
    </w:tbl>
    <w:p w14:paraId="03A43C27" w14:textId="77777777" w:rsidR="00510D38" w:rsidRDefault="00510D38">
      <w:pPr>
        <w:spacing w:before="120"/>
      </w:pPr>
    </w:p>
    <w:p w14:paraId="4EA45B3D" w14:textId="77777777" w:rsidR="00510D38" w:rsidRDefault="00000000">
      <w:pPr>
        <w:pStyle w:val="Kop2"/>
      </w:pPr>
      <w:r>
        <w:t>Durfkapitaal: een structureel tekort</w:t>
      </w:r>
    </w:p>
    <w:p w14:paraId="124D2069" w14:textId="1D4C3879" w:rsidR="00510D38" w:rsidRDefault="00000000">
      <w:pPr>
        <w:spacing w:after="180"/>
        <w:jc w:val="both"/>
      </w:pPr>
      <w:r>
        <w:rPr>
          <w:color w:val="3D3530"/>
        </w:rPr>
        <w:t>Tussen 2021 en 2024 haalde de VS ruim 621 miljard euro aan durfkapitaal op — meer dan vijfmaal het totale EU-bedrag van 122,1 miljard euro. Gecorrigeerd voor BBP is het contrast even scherp: de EU haalt gemiddeld 1,7 miljoen euro durfkapitaal per miljard BBP, tegenover 5,9 miljoen euro in de VS. Europese scale-ups halen gemiddeld 50% minder kapitaal op dan hun San Francisco-tegenhangers, terwijl 82% van de EU-scale-up-investeringen van buitenlandse investeerders afkomstig is. Tussen 2008 en 2021 verplaatste bijna 30% van de Europese</w:t>
      </w:r>
      <w:r w:rsidR="005B54EF">
        <w:rPr>
          <w:color w:val="3D3530"/>
        </w:rPr>
        <w:t xml:space="preserve"> “</w:t>
      </w:r>
      <w:r>
        <w:rPr>
          <w:color w:val="3D3530"/>
        </w:rPr>
        <w:t>eenhoorns</w:t>
      </w:r>
      <w:r w:rsidR="005B54EF">
        <w:rPr>
          <w:color w:val="3D3530"/>
        </w:rPr>
        <w:t xml:space="preserve">” en </w:t>
      </w:r>
      <w:r>
        <w:rPr>
          <w:color w:val="3D3530"/>
        </w:rPr>
        <w:t>hun hoofdkantoor buiten de EU — grotendeels naar de VS.</w:t>
      </w:r>
    </w:p>
    <w:p w14:paraId="33E1092D" w14:textId="77777777" w:rsidR="00510D38" w:rsidRDefault="00000000">
      <w:pPr>
        <w:pStyle w:val="Kop1"/>
        <w:pBdr>
          <w:top w:val="single" w:sz="12" w:space="0" w:color="1A1614"/>
        </w:pBdr>
      </w:pPr>
      <w:r>
        <w:t>2. Intellectueel eigendom en zijn economische betekenis</w:t>
      </w:r>
    </w:p>
    <w:p w14:paraId="5B29E38E" w14:textId="77777777" w:rsidR="00510D38" w:rsidRDefault="00000000">
      <w:pPr>
        <w:spacing w:after="180"/>
        <w:jc w:val="both"/>
      </w:pPr>
      <w:r>
        <w:rPr>
          <w:color w:val="3D3530"/>
        </w:rPr>
        <w:t>Immateriële activa zijn uitgegroeid tot de voornaamste bron van bedrijfswaarde. Volgens de WIPO Global Intangible Finance Tracker (GIFT) steeg de wereldwijde immateriële bedrijfswaarde van 6 biljoen dollar in 1996 naar 79,4 biljoen dollar in 2024. Het aandeel immateriële activa in de totale waarde van de grootste bedrijven bedraagt in de VS inmiddels 90%.</w:t>
      </w:r>
    </w:p>
    <w:p w14:paraId="710BA11D" w14:textId="52787BFD" w:rsidR="00510D38" w:rsidRDefault="00000000">
      <w:pPr>
        <w:spacing w:after="180"/>
        <w:jc w:val="both"/>
      </w:pPr>
      <w:r>
        <w:rPr>
          <w:color w:val="3D3530"/>
        </w:rPr>
        <w:t>Onderzoek bevestigt de directe samenhang tussen IE-activiteit en bedrijfsprestaties: IE-actieve kmo</w:t>
      </w:r>
      <w:r w:rsidR="005B54EF">
        <w:rPr>
          <w:color w:val="3D3530"/>
        </w:rPr>
        <w:t>’</w:t>
      </w:r>
      <w:r>
        <w:rPr>
          <w:color w:val="3D3530"/>
        </w:rPr>
        <w:t xml:space="preserve">s doorlopen 21% vaker een groeifase en worden 10% vaker </w:t>
      </w:r>
      <w:r w:rsidR="005B54EF">
        <w:rPr>
          <w:color w:val="3D3530"/>
        </w:rPr>
        <w:t>“</w:t>
      </w:r>
      <w:r>
        <w:rPr>
          <w:color w:val="3D3530"/>
        </w:rPr>
        <w:t>high-growth firms</w:t>
      </w:r>
      <w:r w:rsidR="005B54EF">
        <w:rPr>
          <w:color w:val="3D3530"/>
        </w:rPr>
        <w:t>”</w:t>
      </w:r>
      <w:r>
        <w:rPr>
          <w:color w:val="3D3530"/>
        </w:rPr>
        <w:t>. Bedrijven met geregistreerde IE-rechten genereren 41% meer omzet per werknemer dan bedrijven zonder — bij kmo</w:t>
      </w:r>
      <w:r w:rsidR="005B54EF">
        <w:rPr>
          <w:color w:val="3D3530"/>
        </w:rPr>
        <w:t>’</w:t>
      </w:r>
      <w:r>
        <w:rPr>
          <w:color w:val="3D3530"/>
        </w:rPr>
        <w:t>s is dit voordeel zelfs 44%.</w:t>
      </w:r>
    </w:p>
    <w:p w14:paraId="6630D044" w14:textId="77777777" w:rsidR="00510D38" w:rsidRDefault="00510D38">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6"/>
        <w:gridCol w:w="2256"/>
        <w:gridCol w:w="2257"/>
        <w:gridCol w:w="2257"/>
      </w:tblGrid>
      <w:tr w:rsidR="00510D38" w14:paraId="1F3875C6" w14:textId="77777777">
        <w:tblPrEx>
          <w:tblCellMar>
            <w:top w:w="0" w:type="dxa"/>
            <w:bottom w:w="0" w:type="dxa"/>
          </w:tblCellMar>
        </w:tblPrEx>
        <w:tc>
          <w:tcPr>
            <w:tcW w:w="2256" w:type="dxa"/>
            <w:tcBorders>
              <w:top w:val="single" w:sz="12" w:space="0" w:color="8B3A2A"/>
              <w:left w:val="none" w:sz="0" w:space="0" w:color="FFFFFF"/>
              <w:bottom w:val="none" w:sz="0" w:space="0" w:color="FFFFFF"/>
              <w:right w:val="none" w:sz="0" w:space="0" w:color="FFFFFF"/>
            </w:tcBorders>
            <w:shd w:val="clear" w:color="auto" w:fill="F5EDE9"/>
            <w:tcMar>
              <w:top w:w="120" w:type="dxa"/>
              <w:left w:w="120" w:type="dxa"/>
              <w:bottom w:w="120" w:type="dxa"/>
              <w:right w:w="120" w:type="dxa"/>
            </w:tcMar>
          </w:tcPr>
          <w:p w14:paraId="79B2AEEB" w14:textId="77777777" w:rsidR="00510D38" w:rsidRDefault="00000000">
            <w:pPr>
              <w:spacing w:after="60"/>
            </w:pPr>
            <w:r>
              <w:rPr>
                <w:rFonts w:ascii="Georgia" w:eastAsia="Georgia" w:hAnsi="Georgia" w:cs="Georgia"/>
                <w:b/>
                <w:bCs/>
                <w:color w:val="8B3A2A"/>
                <w:sz w:val="40"/>
                <w:szCs w:val="40"/>
              </w:rPr>
              <w:t>2,6×</w:t>
            </w:r>
          </w:p>
          <w:p w14:paraId="56ED74FE" w14:textId="77777777" w:rsidR="00510D38" w:rsidRDefault="00000000">
            <w:r>
              <w:rPr>
                <w:color w:val="6B635D"/>
                <w:sz w:val="18"/>
                <w:szCs w:val="18"/>
              </w:rPr>
              <w:t>Hogere kans op seedfinanciering voor startups met IE-rechten</w:t>
            </w:r>
          </w:p>
        </w:tc>
        <w:tc>
          <w:tcPr>
            <w:tcW w:w="2256" w:type="dxa"/>
            <w:tcBorders>
              <w:top w:val="single" w:sz="12" w:space="0" w:color="8B3A2A"/>
              <w:left w:val="none" w:sz="0" w:space="0" w:color="FFFFFF"/>
              <w:bottom w:val="none" w:sz="0" w:space="0" w:color="FFFFFF"/>
              <w:right w:val="none" w:sz="0" w:space="0" w:color="FFFFFF"/>
            </w:tcBorders>
            <w:shd w:val="clear" w:color="auto" w:fill="F5EDE9"/>
            <w:tcMar>
              <w:top w:w="120" w:type="dxa"/>
              <w:left w:w="120" w:type="dxa"/>
              <w:bottom w:w="120" w:type="dxa"/>
              <w:right w:w="120" w:type="dxa"/>
            </w:tcMar>
          </w:tcPr>
          <w:p w14:paraId="6EAE056B" w14:textId="77777777" w:rsidR="00510D38" w:rsidRDefault="00000000">
            <w:pPr>
              <w:spacing w:after="60"/>
            </w:pPr>
            <w:r>
              <w:rPr>
                <w:rFonts w:ascii="Georgia" w:eastAsia="Georgia" w:hAnsi="Georgia" w:cs="Georgia"/>
                <w:b/>
                <w:bCs/>
                <w:color w:val="8B3A2A"/>
                <w:sz w:val="40"/>
                <w:szCs w:val="40"/>
              </w:rPr>
              <w:t>55%</w:t>
            </w:r>
          </w:p>
          <w:p w14:paraId="2512CF36" w14:textId="77777777" w:rsidR="00510D38" w:rsidRDefault="00000000">
            <w:r>
              <w:rPr>
                <w:color w:val="6B635D"/>
                <w:sz w:val="18"/>
                <w:szCs w:val="18"/>
              </w:rPr>
              <w:t>Hogere verwachte investering bij startups met handelsmerken (venture-fase)</w:t>
            </w:r>
          </w:p>
        </w:tc>
        <w:tc>
          <w:tcPr>
            <w:tcW w:w="2256" w:type="dxa"/>
            <w:tcBorders>
              <w:top w:val="single" w:sz="12" w:space="0" w:color="B8892A"/>
              <w:left w:val="none" w:sz="0" w:space="0" w:color="FFFFFF"/>
              <w:bottom w:val="none" w:sz="0" w:space="0" w:color="FFFFFF"/>
              <w:right w:val="none" w:sz="0" w:space="0" w:color="FFFFFF"/>
            </w:tcBorders>
            <w:shd w:val="clear" w:color="auto" w:fill="F7F0E0"/>
            <w:tcMar>
              <w:top w:w="120" w:type="dxa"/>
              <w:left w:w="120" w:type="dxa"/>
              <w:bottom w:w="120" w:type="dxa"/>
              <w:right w:w="120" w:type="dxa"/>
            </w:tcMar>
          </w:tcPr>
          <w:p w14:paraId="5DA40F7A" w14:textId="77777777" w:rsidR="00510D38" w:rsidRDefault="00000000">
            <w:pPr>
              <w:spacing w:after="60"/>
            </w:pPr>
            <w:r>
              <w:rPr>
                <w:rFonts w:ascii="Georgia" w:eastAsia="Georgia" w:hAnsi="Georgia" w:cs="Georgia"/>
                <w:b/>
                <w:bCs/>
                <w:color w:val="B8892A"/>
                <w:sz w:val="40"/>
                <w:szCs w:val="40"/>
              </w:rPr>
              <w:t xml:space="preserve">€365 </w:t>
            </w:r>
            <w:proofErr w:type="spellStart"/>
            <w:r>
              <w:rPr>
                <w:rFonts w:ascii="Georgia" w:eastAsia="Georgia" w:hAnsi="Georgia" w:cs="Georgia"/>
                <w:b/>
                <w:bCs/>
                <w:color w:val="B8892A"/>
                <w:sz w:val="40"/>
                <w:szCs w:val="40"/>
              </w:rPr>
              <w:t>mrd</w:t>
            </w:r>
            <w:proofErr w:type="spellEnd"/>
          </w:p>
          <w:p w14:paraId="79F29262" w14:textId="77777777" w:rsidR="00510D38" w:rsidRDefault="00000000">
            <w:r>
              <w:rPr>
                <w:color w:val="6B635D"/>
                <w:sz w:val="18"/>
                <w:szCs w:val="18"/>
              </w:rPr>
              <w:t>Jaarlijks kredietgat bij EU-kmo's (EUIPO-schatting)</w:t>
            </w:r>
          </w:p>
        </w:tc>
        <w:tc>
          <w:tcPr>
            <w:tcW w:w="2256" w:type="dxa"/>
            <w:tcBorders>
              <w:top w:val="single" w:sz="12" w:space="0" w:color="B8892A"/>
              <w:left w:val="none" w:sz="0" w:space="0" w:color="FFFFFF"/>
              <w:bottom w:val="none" w:sz="0" w:space="0" w:color="FFFFFF"/>
              <w:right w:val="none" w:sz="0" w:space="0" w:color="FFFFFF"/>
            </w:tcBorders>
            <w:shd w:val="clear" w:color="auto" w:fill="F7F0E0"/>
            <w:tcMar>
              <w:top w:w="120" w:type="dxa"/>
              <w:left w:w="120" w:type="dxa"/>
              <w:bottom w:w="120" w:type="dxa"/>
              <w:right w:w="120" w:type="dxa"/>
            </w:tcMar>
          </w:tcPr>
          <w:p w14:paraId="69E6BC59" w14:textId="77777777" w:rsidR="00510D38" w:rsidRDefault="00000000">
            <w:pPr>
              <w:spacing w:after="60"/>
            </w:pPr>
            <w:r>
              <w:rPr>
                <w:rFonts w:ascii="Georgia" w:eastAsia="Georgia" w:hAnsi="Georgia" w:cs="Georgia"/>
                <w:b/>
                <w:bCs/>
                <w:color w:val="B8892A"/>
                <w:sz w:val="40"/>
                <w:szCs w:val="40"/>
              </w:rPr>
              <w:t xml:space="preserve">€70–150 </w:t>
            </w:r>
            <w:proofErr w:type="spellStart"/>
            <w:r>
              <w:rPr>
                <w:rFonts w:ascii="Georgia" w:eastAsia="Georgia" w:hAnsi="Georgia" w:cs="Georgia"/>
                <w:b/>
                <w:bCs/>
                <w:color w:val="B8892A"/>
                <w:sz w:val="40"/>
                <w:szCs w:val="40"/>
              </w:rPr>
              <w:t>mrd</w:t>
            </w:r>
            <w:proofErr w:type="spellEnd"/>
          </w:p>
          <w:p w14:paraId="53D4A12F" w14:textId="77777777" w:rsidR="00510D38" w:rsidRDefault="00000000">
            <w:r>
              <w:rPr>
                <w:color w:val="6B635D"/>
                <w:sz w:val="18"/>
                <w:szCs w:val="18"/>
              </w:rPr>
              <w:t>Adresseerbaar marktpotentieel IP-gedekte financiering per jaar</w:t>
            </w:r>
          </w:p>
        </w:tc>
      </w:tr>
    </w:tbl>
    <w:p w14:paraId="540ADD68" w14:textId="77777777" w:rsidR="00510D38" w:rsidRDefault="00510D38">
      <w:pPr>
        <w:spacing w:before="160"/>
      </w:pPr>
    </w:p>
    <w:p w14:paraId="3FDCCCA0" w14:textId="77777777" w:rsidR="00510D38" w:rsidRDefault="00000000">
      <w:pPr>
        <w:spacing w:after="180"/>
        <w:jc w:val="both"/>
      </w:pPr>
      <w:r>
        <w:rPr>
          <w:color w:val="3D3530"/>
        </w:rPr>
        <w:t>Dankzij de juiste infrastructuur — op het gebied van openbaarmaking, waardering en risicospreiding — kan IP-gedekte financiering jaarlijks 30 tot 120 miljard euro aan nieuwe financieringsstromen mobiliseren. Op een horizon van tien jaar vertaalt dit zich in 150 tot 580 miljard euro aan additionele financiering, met een cumulatieve bbp-impact van 70 tot 750 miljard euro (0,4% tot 4,2% van het EU-BBP).</w:t>
      </w:r>
    </w:p>
    <w:p w14:paraId="14A2FAE8" w14:textId="77777777" w:rsidR="00510D38" w:rsidRDefault="00000000">
      <w:pPr>
        <w:pStyle w:val="Kop1"/>
        <w:pBdr>
          <w:top w:val="single" w:sz="12" w:space="0" w:color="1A1614"/>
        </w:pBdr>
      </w:pPr>
      <w:r>
        <w:lastRenderedPageBreak/>
        <w:t>3. Structurele belemmeringen: een juridische en economische analyse</w:t>
      </w:r>
    </w:p>
    <w:p w14:paraId="4B805585" w14:textId="77777777" w:rsidR="00510D38" w:rsidRDefault="00000000">
      <w:pPr>
        <w:spacing w:after="180"/>
        <w:jc w:val="both"/>
      </w:pPr>
      <w:r>
        <w:rPr>
          <w:color w:val="3D3530"/>
        </w:rPr>
        <w:t>Het rapport identificeert drie onderling versterkende categorieën van belemmeringen die het gebruik van IE als financieringsgrondslag blokkeren.</w:t>
      </w:r>
    </w:p>
    <w:p w14:paraId="155DB4D9" w14:textId="77777777" w:rsidR="00510D38" w:rsidRDefault="00510D38">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75"/>
        <w:gridCol w:w="2824"/>
        <w:gridCol w:w="3327"/>
      </w:tblGrid>
      <w:tr w:rsidR="00510D38" w14:paraId="72A8E133" w14:textId="77777777">
        <w:tblPrEx>
          <w:tblCellMar>
            <w:top w:w="0" w:type="dxa"/>
            <w:bottom w:w="0" w:type="dxa"/>
          </w:tblCellMar>
        </w:tblPrEx>
        <w:tc>
          <w:tcPr>
            <w:tcW w:w="3008" w:type="dxa"/>
            <w:tcBorders>
              <w:top w:val="single" w:sz="4" w:space="0" w:color="D6CFC8"/>
              <w:left w:val="single" w:sz="4" w:space="0" w:color="D6CFC8"/>
              <w:bottom w:val="single" w:sz="4" w:space="0" w:color="D6CFC8"/>
              <w:right w:val="single" w:sz="4" w:space="0" w:color="D6CFC8"/>
            </w:tcBorders>
            <w:shd w:val="clear" w:color="auto" w:fill="F2EDE6"/>
            <w:tcMar>
              <w:top w:w="140" w:type="dxa"/>
              <w:left w:w="160" w:type="dxa"/>
              <w:bottom w:w="140" w:type="dxa"/>
              <w:right w:w="160" w:type="dxa"/>
            </w:tcMar>
          </w:tcPr>
          <w:p w14:paraId="46EFA107" w14:textId="77777777" w:rsidR="00510D38" w:rsidRDefault="00000000">
            <w:pPr>
              <w:spacing w:after="80"/>
            </w:pPr>
            <w:r>
              <w:rPr>
                <w:color w:val="8B3A2A"/>
                <w:sz w:val="28"/>
                <w:szCs w:val="28"/>
              </w:rPr>
              <w:t>⚠</w:t>
            </w:r>
          </w:p>
          <w:p w14:paraId="72016C39" w14:textId="77777777" w:rsidR="00510D38" w:rsidRDefault="00000000">
            <w:pPr>
              <w:spacing w:after="80"/>
            </w:pPr>
            <w:r>
              <w:rPr>
                <w:rFonts w:ascii="Georgia" w:eastAsia="Georgia" w:hAnsi="Georgia" w:cs="Georgia"/>
                <w:b/>
                <w:bCs/>
                <w:color w:val="1A1614"/>
              </w:rPr>
              <w:t>Inherente IE-kenmerken</w:t>
            </w:r>
          </w:p>
          <w:p w14:paraId="3BA1A903" w14:textId="77777777" w:rsidR="00510D38" w:rsidRDefault="00000000">
            <w:r>
              <w:rPr>
                <w:color w:val="6B635D"/>
                <w:sz w:val="19"/>
                <w:szCs w:val="19"/>
              </w:rPr>
              <w:t>Informatieasymmetrie, niet-rivaliteit, onzekerheid over waarde en economische levensduur, en de heterogene aard van individuele IE-activa maken risicoanalyse voor financiële instellingen moeilijk en kostbaar.</w:t>
            </w:r>
          </w:p>
        </w:tc>
        <w:tc>
          <w:tcPr>
            <w:tcW w:w="3008" w:type="dxa"/>
            <w:tcBorders>
              <w:top w:val="single" w:sz="4" w:space="0" w:color="D6CFC8"/>
              <w:left w:val="single" w:sz="4" w:space="0" w:color="D6CFC8"/>
              <w:bottom w:val="single" w:sz="4" w:space="0" w:color="D6CFC8"/>
              <w:right w:val="single" w:sz="4" w:space="0" w:color="D6CFC8"/>
            </w:tcBorders>
            <w:shd w:val="clear" w:color="auto" w:fill="F2EDE6"/>
            <w:tcMar>
              <w:top w:w="140" w:type="dxa"/>
              <w:left w:w="160" w:type="dxa"/>
              <w:bottom w:w="140" w:type="dxa"/>
              <w:right w:w="160" w:type="dxa"/>
            </w:tcMar>
          </w:tcPr>
          <w:p w14:paraId="43DDBDEB" w14:textId="77777777" w:rsidR="00510D38" w:rsidRDefault="00000000">
            <w:pPr>
              <w:spacing w:after="80"/>
            </w:pPr>
            <w:r>
              <w:rPr>
                <w:color w:val="8B3A2A"/>
                <w:sz w:val="28"/>
                <w:szCs w:val="28"/>
              </w:rPr>
              <w:t>⚖</w:t>
            </w:r>
          </w:p>
          <w:p w14:paraId="2CCBB471" w14:textId="77777777" w:rsidR="00510D38" w:rsidRDefault="00000000">
            <w:pPr>
              <w:spacing w:after="80"/>
            </w:pPr>
            <w:r>
              <w:rPr>
                <w:rFonts w:ascii="Georgia" w:eastAsia="Georgia" w:hAnsi="Georgia" w:cs="Georgia"/>
                <w:b/>
                <w:bCs/>
                <w:color w:val="1A1614"/>
              </w:rPr>
              <w:t>Gebrekkig juridisch kader</w:t>
            </w:r>
          </w:p>
          <w:p w14:paraId="1DD62540" w14:textId="77777777" w:rsidR="00510D38" w:rsidRDefault="00000000">
            <w:r>
              <w:rPr>
                <w:color w:val="6B635D"/>
                <w:sz w:val="19"/>
                <w:szCs w:val="19"/>
              </w:rPr>
              <w:t>Onderontwikkelde secundaire markten, onvoldoende erkenning van intern gegenereerde immateriële activa in de boekhouding (IAS 38), en juridische fragmentatie tussen 27 lidstaten.</w:t>
            </w:r>
          </w:p>
        </w:tc>
        <w:tc>
          <w:tcPr>
            <w:tcW w:w="3008" w:type="dxa"/>
            <w:tcBorders>
              <w:top w:val="single" w:sz="4" w:space="0" w:color="D6CFC8"/>
              <w:left w:val="single" w:sz="4" w:space="0" w:color="D6CFC8"/>
              <w:bottom w:val="single" w:sz="4" w:space="0" w:color="D6CFC8"/>
              <w:right w:val="single" w:sz="4" w:space="0" w:color="D6CFC8"/>
            </w:tcBorders>
            <w:shd w:val="clear" w:color="auto" w:fill="F2EDE6"/>
            <w:tcMar>
              <w:top w:w="140" w:type="dxa"/>
              <w:left w:w="160" w:type="dxa"/>
              <w:bottom w:w="140" w:type="dxa"/>
              <w:right w:w="160" w:type="dxa"/>
            </w:tcMar>
          </w:tcPr>
          <w:p w14:paraId="3B5FC5B1" w14:textId="77777777" w:rsidR="00510D38" w:rsidRDefault="00000000">
            <w:pPr>
              <w:spacing w:after="80"/>
            </w:pPr>
            <w:r>
              <w:rPr>
                <w:color w:val="8B3A2A"/>
                <w:sz w:val="28"/>
                <w:szCs w:val="28"/>
              </w:rPr>
              <w:t>📊</w:t>
            </w:r>
          </w:p>
          <w:p w14:paraId="642FEF0A" w14:textId="77777777" w:rsidR="00510D38" w:rsidRDefault="00000000">
            <w:pPr>
              <w:spacing w:after="80"/>
            </w:pPr>
            <w:r>
              <w:rPr>
                <w:rFonts w:ascii="Georgia" w:eastAsia="Georgia" w:hAnsi="Georgia" w:cs="Georgia"/>
                <w:b/>
                <w:bCs/>
                <w:color w:val="1A1614"/>
              </w:rPr>
              <w:t>Waarderingsproblematiek</w:t>
            </w:r>
          </w:p>
          <w:p w14:paraId="1DF24760" w14:textId="77777777" w:rsidR="00510D38" w:rsidRDefault="00000000">
            <w:r>
              <w:rPr>
                <w:color w:val="6B635D"/>
                <w:sz w:val="19"/>
                <w:szCs w:val="19"/>
              </w:rPr>
              <w:t>Hoge kosten voor maatwerk-taxaties, een beperkt aantal gekwalificeerde waarderingsexperts, en onvoldoende transactiedata om uitkomsten te toetsen en risicospreiding op schaal te bereiken.</w:t>
            </w:r>
          </w:p>
        </w:tc>
      </w:tr>
    </w:tbl>
    <w:p w14:paraId="53D44BA0" w14:textId="77777777" w:rsidR="00510D38" w:rsidRDefault="00510D38">
      <w:pPr>
        <w:spacing w:before="160"/>
      </w:pPr>
    </w:p>
    <w:p w14:paraId="12661AC2" w14:textId="0DF28CAC" w:rsidR="00510D38" w:rsidRDefault="00000000">
      <w:pPr>
        <w:spacing w:after="180"/>
        <w:jc w:val="both"/>
      </w:pPr>
      <w:r>
        <w:rPr>
          <w:color w:val="3D3530"/>
        </w:rPr>
        <w:t>Deze belemmeringen vormen een zichzelf versterkende cirkel: zonder transacties word</w:t>
      </w:r>
      <w:r w:rsidR="00F96C0D">
        <w:rPr>
          <w:color w:val="3D3530"/>
        </w:rPr>
        <w:t>t</w:t>
      </w:r>
      <w:r>
        <w:rPr>
          <w:color w:val="3D3530"/>
        </w:rPr>
        <w:t xml:space="preserve"> er geen data verzameld; zonder data blijft de risicobeoordeling conservatief; zonder geloofwaardige risicobeoordeling kunnen er geen instrumenten op schaal worden ingezet.</w:t>
      </w:r>
    </w:p>
    <w:p w14:paraId="721D51F3" w14:textId="77777777" w:rsidR="00510D38" w:rsidRDefault="00000000">
      <w:pPr>
        <w:pStyle w:val="Kop2"/>
      </w:pPr>
      <w:r>
        <w:t>Juridische fragmentatie en pandrecht op IE</w:t>
      </w:r>
    </w:p>
    <w:p w14:paraId="69DDD06F" w14:textId="77777777" w:rsidR="00510D38" w:rsidRDefault="00000000">
      <w:pPr>
        <w:spacing w:after="180"/>
        <w:jc w:val="both"/>
      </w:pPr>
      <w:r>
        <w:rPr>
          <w:color w:val="3D3530"/>
        </w:rPr>
        <w:t>Een cruciale juridische belemmering is het ontbreken van harmonisatie in het Europese recht inzake zekerheidsrechten op intellectueel eigendom. Binnen de EU bestaan 27 afzonderlijke insolventierechtsstelsels, hetgeen tot aanzienlijke rechtsonzekerheid leidt bij grensoverschrijdende transacties waarbij IE-activa als zekerheid worden gesteld. De gemiddelde netto-terugvorderingspercentages bij kmo-leningen in de EU bedragen 31,5%, maar variëren enorm: van 5,3% in Polen tot 67,7% in Zweden. De doorlooptijd van terugvorderingsprocedures verschilt eveneens sterk — van 0,3 jaar in Kroatië tot 6,4 jaar in Italië.</w:t>
      </w:r>
    </w:p>
    <w:p w14:paraId="7D922795" w14:textId="77777777" w:rsidR="00510D38" w:rsidRDefault="00000000">
      <w:pPr>
        <w:spacing w:after="180"/>
        <w:jc w:val="both"/>
      </w:pPr>
      <w:r>
        <w:rPr>
          <w:color w:val="3D3530"/>
        </w:rPr>
        <w:t>Volgens het rapport verliep het wetgevingsproces als volgt: de Europese Commissie diende op 7 december 2022 een voorstel in voor verdere harmonisatie (COM(2022) 702); de Raad bereikte een algemene oriëntatie in juni 2025; op 19 november 2025 volgde een voorlopig politiek akkoord tussen Raad en Parlement; en het Europees Parlement stemde op 10 maart 2026 in plenaire vergadering in met de tekst. Formele aanneming door de Raad was ten tijde van het rapport nog hangende. De analyse hieronder weerspiegelt deze door het rapport vermelde status.</w:t>
      </w:r>
    </w:p>
    <w:p w14:paraId="6B058998" w14:textId="77777777" w:rsidR="00510D38" w:rsidRDefault="00510D38">
      <w:pPr>
        <w:spacing w:before="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10D38" w14:paraId="1940F2B6" w14:textId="77777777">
        <w:tblPrEx>
          <w:tblCellMar>
            <w:top w:w="0" w:type="dxa"/>
            <w:bottom w:w="0" w:type="dxa"/>
          </w:tblCellMar>
        </w:tblPrEx>
        <w:tc>
          <w:tcPr>
            <w:tcW w:w="9026" w:type="dxa"/>
            <w:tcBorders>
              <w:top w:val="single" w:sz="6" w:space="0" w:color="B8892A"/>
              <w:left w:val="single" w:sz="6" w:space="0" w:color="B8892A"/>
              <w:bottom w:val="single" w:sz="6" w:space="0" w:color="B8892A"/>
              <w:right w:val="single" w:sz="6" w:space="0" w:color="B8892A"/>
            </w:tcBorders>
            <w:shd w:val="clear" w:color="auto" w:fill="F7F0E0"/>
            <w:tcMar>
              <w:top w:w="120" w:type="dxa"/>
              <w:left w:w="180" w:type="dxa"/>
              <w:bottom w:w="60" w:type="dxa"/>
              <w:right w:w="180" w:type="dxa"/>
            </w:tcMar>
          </w:tcPr>
          <w:p w14:paraId="4E7C7FD5" w14:textId="77777777" w:rsidR="00510D38" w:rsidRDefault="00000000">
            <w:pPr>
              <w:spacing w:after="60"/>
            </w:pPr>
            <w:r>
              <w:rPr>
                <w:b/>
                <w:bCs/>
                <w:color w:val="B8892A"/>
                <w:sz w:val="20"/>
                <w:szCs w:val="20"/>
              </w:rPr>
              <w:t>Juridische context: relevante Unierechtelijke instrumenten</w:t>
            </w:r>
          </w:p>
        </w:tc>
      </w:tr>
      <w:tr w:rsidR="00510D38" w14:paraId="3D862189" w14:textId="77777777">
        <w:tblPrEx>
          <w:tblCellMar>
            <w:top w:w="0" w:type="dxa"/>
            <w:bottom w:w="0" w:type="dxa"/>
          </w:tblCellMar>
        </w:tblPrEx>
        <w:tc>
          <w:tcPr>
            <w:tcW w:w="9026" w:type="dxa"/>
            <w:tcBorders>
              <w:top w:val="none" w:sz="0" w:space="0" w:color="FFFFFF"/>
              <w:left w:val="single" w:sz="6" w:space="0" w:color="B8892A"/>
              <w:bottom w:val="none" w:sz="0" w:space="0" w:color="FFFFFF"/>
              <w:right w:val="single" w:sz="4" w:space="0" w:color="D6CFC8"/>
            </w:tcBorders>
            <w:shd w:val="clear" w:color="auto" w:fill="F7F0E0"/>
            <w:tcMar>
              <w:top w:w="60" w:type="dxa"/>
              <w:left w:w="180" w:type="dxa"/>
              <w:bottom w:w="60" w:type="dxa"/>
              <w:right w:w="180" w:type="dxa"/>
            </w:tcMar>
          </w:tcPr>
          <w:p w14:paraId="6BABEBE8" w14:textId="77777777" w:rsidR="00510D38" w:rsidRDefault="00000000">
            <w:pPr>
              <w:spacing w:after="80"/>
            </w:pPr>
            <w:r>
              <w:rPr>
                <w:color w:val="3D3530"/>
                <w:sz w:val="20"/>
                <w:szCs w:val="20"/>
              </w:rPr>
              <w:t>De juridische grondslag voor zekerheidsrechten op IE-activa is gedeeltelijk genormaliseerd via zachte rechtsinstrumenten. De UNCITRAL Legislative Guide on Secured Transactions (2010) en de UNCITRAL Model Law on Secured Transactions (2016) bevatten een specifiek supplement over zekerheidsrechten op intellectueel eigendom, en behandelen het ontstaan, de derdenwerking, de prioriteitsregels en de handhaving van zekerheidsrechten — evenals de positie ervan in geval van insolventie.</w:t>
            </w:r>
          </w:p>
        </w:tc>
      </w:tr>
      <w:tr w:rsidR="00510D38" w14:paraId="5EB913F2" w14:textId="77777777">
        <w:tblPrEx>
          <w:tblCellMar>
            <w:top w:w="0" w:type="dxa"/>
            <w:bottom w:w="0" w:type="dxa"/>
          </w:tblCellMar>
        </w:tblPrEx>
        <w:tc>
          <w:tcPr>
            <w:tcW w:w="9026" w:type="dxa"/>
            <w:tcBorders>
              <w:top w:val="none" w:sz="0" w:space="0" w:color="FFFFFF"/>
              <w:left w:val="single" w:sz="6" w:space="0" w:color="B8892A"/>
              <w:bottom w:val="none" w:sz="0" w:space="0" w:color="FFFFFF"/>
              <w:right w:val="single" w:sz="4" w:space="0" w:color="D6CFC8"/>
            </w:tcBorders>
            <w:shd w:val="clear" w:color="auto" w:fill="F7F0E0"/>
            <w:tcMar>
              <w:top w:w="60" w:type="dxa"/>
              <w:left w:w="180" w:type="dxa"/>
              <w:bottom w:w="60" w:type="dxa"/>
              <w:right w:w="180" w:type="dxa"/>
            </w:tcMar>
          </w:tcPr>
          <w:p w14:paraId="5DC16128" w14:textId="77777777" w:rsidR="00510D38" w:rsidRDefault="00000000">
            <w:pPr>
              <w:spacing w:after="80"/>
            </w:pPr>
            <w:r>
              <w:rPr>
                <w:color w:val="3D3530"/>
                <w:sz w:val="20"/>
                <w:szCs w:val="20"/>
              </w:rPr>
              <w:t xml:space="preserve">Voor handelsmerken heeft de International Trademark Association (INTA) in 2007 een resolutie aangenomen over de registratie van zekerheidsrechten. Het rapport verwijst tevens naar de Cape Town Convention on International Interests in Mobile Equipment (2001, in werking getreden 2006) als analogie </w:t>
            </w:r>
            <w:r>
              <w:rPr>
                <w:color w:val="3D3530"/>
                <w:sz w:val="20"/>
                <w:szCs w:val="20"/>
              </w:rPr>
              <w:lastRenderedPageBreak/>
              <w:t>voor een toekomstige Europese of internationale conventie inzake zekerheidsrechten op immateriële activa.</w:t>
            </w:r>
          </w:p>
        </w:tc>
      </w:tr>
      <w:tr w:rsidR="00510D38" w14:paraId="77949B8A" w14:textId="77777777">
        <w:tblPrEx>
          <w:tblCellMar>
            <w:top w:w="0" w:type="dxa"/>
            <w:bottom w:w="0" w:type="dxa"/>
          </w:tblCellMar>
        </w:tblPrEx>
        <w:tc>
          <w:tcPr>
            <w:tcW w:w="9026" w:type="dxa"/>
            <w:tcBorders>
              <w:top w:val="none" w:sz="0" w:space="0" w:color="FFFFFF"/>
              <w:left w:val="single" w:sz="6" w:space="0" w:color="B8892A"/>
              <w:bottom w:val="none" w:sz="0" w:space="0" w:color="FFFFFF"/>
              <w:right w:val="single" w:sz="4" w:space="0" w:color="D6CFC8"/>
            </w:tcBorders>
            <w:shd w:val="clear" w:color="auto" w:fill="F7F0E0"/>
            <w:tcMar>
              <w:top w:w="60" w:type="dxa"/>
              <w:left w:w="180" w:type="dxa"/>
              <w:bottom w:w="60" w:type="dxa"/>
              <w:right w:w="180" w:type="dxa"/>
            </w:tcMar>
          </w:tcPr>
          <w:p w14:paraId="7D3F11A3" w14:textId="77777777" w:rsidR="00510D38" w:rsidRDefault="00000000">
            <w:pPr>
              <w:spacing w:after="80"/>
            </w:pPr>
            <w:r>
              <w:rPr>
                <w:color w:val="3D3530"/>
                <w:sz w:val="20"/>
                <w:szCs w:val="20"/>
              </w:rPr>
              <w:lastRenderedPageBreak/>
              <w:t xml:space="preserve">Richtlijn (EU) 2019/1023 van 20 juni 2019 (de richtlijn </w:t>
            </w:r>
            <w:proofErr w:type="gramStart"/>
            <w:r>
              <w:rPr>
                <w:color w:val="3D3530"/>
                <w:sz w:val="20"/>
                <w:szCs w:val="20"/>
              </w:rPr>
              <w:t>inzake</w:t>
            </w:r>
            <w:proofErr w:type="gramEnd"/>
            <w:r>
              <w:rPr>
                <w:color w:val="3D3530"/>
                <w:sz w:val="20"/>
                <w:szCs w:val="20"/>
              </w:rPr>
              <w:t xml:space="preserve"> herstructurering en insolventie) faciliteert vroegtijdige herstructurering en is daarmee rechtstreeks relevant voor IE-intensieve ondernemingen bij tijdelijke liquiditeitsproblemen.</w:t>
            </w:r>
          </w:p>
        </w:tc>
      </w:tr>
      <w:tr w:rsidR="00510D38" w14:paraId="327DBE10" w14:textId="77777777">
        <w:tblPrEx>
          <w:tblCellMar>
            <w:top w:w="0" w:type="dxa"/>
            <w:bottom w:w="0" w:type="dxa"/>
          </w:tblCellMar>
        </w:tblPrEx>
        <w:tc>
          <w:tcPr>
            <w:tcW w:w="9026" w:type="dxa"/>
            <w:tcBorders>
              <w:top w:val="none" w:sz="0" w:space="0" w:color="FFFFFF"/>
              <w:left w:val="single" w:sz="6" w:space="0" w:color="B8892A"/>
              <w:bottom w:val="none" w:sz="0" w:space="0" w:color="FFFFFF"/>
              <w:right w:val="single" w:sz="4" w:space="0" w:color="D6CFC8"/>
            </w:tcBorders>
            <w:shd w:val="clear" w:color="auto" w:fill="F7F0E0"/>
            <w:tcMar>
              <w:top w:w="60" w:type="dxa"/>
              <w:left w:w="180" w:type="dxa"/>
              <w:bottom w:w="60" w:type="dxa"/>
              <w:right w:w="180" w:type="dxa"/>
            </w:tcMar>
          </w:tcPr>
          <w:p w14:paraId="1B1FEAC1" w14:textId="77777777" w:rsidR="00510D38" w:rsidRDefault="00000000">
            <w:pPr>
              <w:spacing w:after="80"/>
            </w:pPr>
            <w:r>
              <w:rPr>
                <w:color w:val="3D3530"/>
                <w:sz w:val="20"/>
                <w:szCs w:val="20"/>
              </w:rPr>
              <w:t>Op 7 december 2022 diende de Europese Commissie een voorstel in voor verdere harmonisatie van het insolventierecht (COM(2022) 702), met als doelstellingen: versterkte activarecuperatie, efficiëntere procedures en een eerlijkere verdeling van teruggevorderde waarde onder schuldeisers.</w:t>
            </w:r>
          </w:p>
        </w:tc>
      </w:tr>
      <w:tr w:rsidR="00510D38" w14:paraId="6DF315E2" w14:textId="77777777">
        <w:tblPrEx>
          <w:tblCellMar>
            <w:top w:w="0" w:type="dxa"/>
            <w:bottom w:w="0" w:type="dxa"/>
          </w:tblCellMar>
        </w:tblPrEx>
        <w:tc>
          <w:tcPr>
            <w:tcW w:w="9026" w:type="dxa"/>
            <w:tcBorders>
              <w:top w:val="none" w:sz="0" w:space="0" w:color="FFFFFF"/>
              <w:left w:val="single" w:sz="6" w:space="0" w:color="B8892A"/>
              <w:bottom w:val="none" w:sz="0" w:space="0" w:color="FFFFFF"/>
              <w:right w:val="single" w:sz="4" w:space="0" w:color="D6CFC8"/>
            </w:tcBorders>
            <w:shd w:val="clear" w:color="auto" w:fill="F7F0E0"/>
            <w:tcMar>
              <w:top w:w="60" w:type="dxa"/>
              <w:left w:w="180" w:type="dxa"/>
              <w:bottom w:w="60" w:type="dxa"/>
              <w:right w:w="180" w:type="dxa"/>
            </w:tcMar>
          </w:tcPr>
          <w:p w14:paraId="1CF13E63" w14:textId="77777777" w:rsidR="00510D38" w:rsidRDefault="00000000">
            <w:pPr>
              <w:spacing w:after="80"/>
            </w:pPr>
            <w:r>
              <w:rPr>
                <w:color w:val="3D3530"/>
                <w:sz w:val="20"/>
                <w:szCs w:val="20"/>
              </w:rPr>
              <w:t>Handhavingsrichtlijn 2004/48/EG betreffende de handhaving van intellectuele-eigendomsrechten vormt de grondslag voor onderzoek naar de samenhang tussen handhaving en schuldfinanciering (zie Gill &amp; Heller, 2024).</w:t>
            </w:r>
          </w:p>
        </w:tc>
      </w:tr>
      <w:tr w:rsidR="00510D38" w14:paraId="6208AC31" w14:textId="77777777">
        <w:tblPrEx>
          <w:tblCellMar>
            <w:top w:w="0" w:type="dxa"/>
            <w:bottom w:w="0" w:type="dxa"/>
          </w:tblCellMar>
        </w:tblPrEx>
        <w:tc>
          <w:tcPr>
            <w:tcW w:w="9026" w:type="dxa"/>
            <w:tcBorders>
              <w:top w:val="none" w:sz="0" w:space="0" w:color="FFFFFF"/>
              <w:left w:val="single" w:sz="6" w:space="0" w:color="B8892A"/>
              <w:bottom w:val="single" w:sz="6" w:space="0" w:color="B8892A"/>
              <w:right w:val="single" w:sz="4" w:space="0" w:color="D6CFC8"/>
            </w:tcBorders>
            <w:shd w:val="clear" w:color="auto" w:fill="F7F0E0"/>
            <w:tcMar>
              <w:top w:w="40" w:type="dxa"/>
              <w:left w:w="180" w:type="dxa"/>
              <w:bottom w:w="100" w:type="dxa"/>
              <w:right w:w="180" w:type="dxa"/>
            </w:tcMar>
          </w:tcPr>
          <w:p w14:paraId="219B689A" w14:textId="77777777" w:rsidR="00510D38" w:rsidRDefault="00510D38"/>
        </w:tc>
      </w:tr>
    </w:tbl>
    <w:p w14:paraId="01C2C240" w14:textId="77777777" w:rsidR="00510D38" w:rsidRDefault="00510D38">
      <w:pPr>
        <w:spacing w:before="200"/>
      </w:pPr>
    </w:p>
    <w:p w14:paraId="27A2BAB0" w14:textId="77777777" w:rsidR="00510D38" w:rsidRDefault="00000000">
      <w:pPr>
        <w:pStyle w:val="Kop2"/>
      </w:pPr>
      <w:r>
        <w:t>Boekhoudkundige barrières: IAS 38</w:t>
      </w:r>
    </w:p>
    <w:p w14:paraId="28E0B693" w14:textId="77777777" w:rsidR="00510D38" w:rsidRDefault="00000000">
      <w:pPr>
        <w:spacing w:after="180"/>
        <w:jc w:val="both"/>
      </w:pPr>
      <w:r>
        <w:rPr>
          <w:color w:val="3D3530"/>
        </w:rPr>
        <w:t>IAS 38 (Immateriële activa) hanteert een onderscheid tussen de onderzoeksfase en de ontwikkelingsfase. Voor de onderzoeksfase geldt een absoluut activeringsverbod. Voor de ontwikkelingsfase kunnen intern gegenereerde immateriële activa tegen kostprijs worden erkend, mits cumulatief aan zes voorwaarden wordt voldaan (IAS 38.57), waaronder technische uitvoerbaarheid, het voornemen tot voltooiing, en de aantoonbaarheid van toekomstige economische voordelen. In de praktijk worden deze drempelcriteria zelden volledig vervuld, waardoor het merendeel van intern ontwikkeld IE alsnog als kosten wordt verwerkt. Voor intern gegenereerde merken, klantenbestanden en soortgelijke posten geldt bovendien een expliciet erkenningsverbod (IAS 38.63). Dit leidt per saldo tot een aanzienlijke onderwaardering van IE-intensieve ondernemingen in hun financiële verslaggeving.</w:t>
      </w:r>
    </w:p>
    <w:p w14:paraId="4FC8FE91" w14:textId="77777777" w:rsidR="00510D38" w:rsidRDefault="00000000">
      <w:pPr>
        <w:spacing w:after="180"/>
        <w:jc w:val="both"/>
      </w:pPr>
      <w:r>
        <w:rPr>
          <w:color w:val="3D3530"/>
        </w:rPr>
        <w:t>Dit leidt tot een structureel verminderd vermogen van kredietverstrekkers om op basis van IE-activa te lenen. Het rapport pleit voor een vrijwillig, aanvullend openbaarmakingskader dat bedrijven de mogelijkheid biedt hun IE-portefeuille op een gestandaardiseerde, voor financiële actoren bruikbare wijze te presenteren — zonder het bestaande boekhoudkundige regelkader (IFRS/IAS) te doorbreken.</w:t>
      </w:r>
    </w:p>
    <w:p w14:paraId="6CDAE05B" w14:textId="77777777" w:rsidR="00510D38" w:rsidRDefault="00000000">
      <w:pPr>
        <w:pStyle w:val="Kop2"/>
      </w:pPr>
      <w:r>
        <w:t>Prudentieel toezichtsrecht: CRR III en Bazel III</w:t>
      </w:r>
    </w:p>
    <w:p w14:paraId="23DE018A" w14:textId="77777777" w:rsidR="00510D38" w:rsidRDefault="00000000">
      <w:pPr>
        <w:spacing w:after="180"/>
        <w:jc w:val="both"/>
      </w:pPr>
      <w:r>
        <w:rPr>
          <w:color w:val="3D3530"/>
        </w:rPr>
        <w:t>Het rapport benadrukt dat het gebruik van IE-activa als zekerheid juridisch niet is uitgesloten, maar prudentieel onaantrekkelijk is voor banken. Immateriële activa, waaronder IE-rechten, kwalificeren onder CRR III (Verordening (EU) 2024/1623, van toepassing vanaf 1 januari 2025) niet als eligible collateral for capital relief. Dit betekent dat een lening gedekt door IE-activa voor de bank geen gunstigere risicoweging oplevert dan een ongedekte lening; de kapitaalvoordelen die bij erkend financieel onderpand of onroerend goed wel beschikbaar zijn, blijven uit. Artikel 36(1)(b) CRR III verplicht instellingen bovendien tot aftrek van immateriële activa van het Common Equity Tier 1 Capital (CET1), wat de algehele kapitaalpositie van banken die IE-intensief opereren verder drukt.</w:t>
      </w:r>
    </w:p>
    <w:p w14:paraId="16EDD5FD" w14:textId="77777777" w:rsidR="00510D38" w:rsidRDefault="00000000">
      <w:pPr>
        <w:spacing w:after="180"/>
        <w:jc w:val="both"/>
      </w:pPr>
      <w:r>
        <w:rPr>
          <w:color w:val="3D3530"/>
        </w:rPr>
        <w:t>CRD VI (Richtlijn (EU) 2024/1619) introduceert aanvullende openbaarmakingsverplichtingen voor instellingen met betrekking tot immateriële activa, maar brengt geen fundamentele wijziging in de prudentiële behandeling ervan. Een garantie-instrument van een publieke instelling kan de kapitaaldruk gedeeltelijk ondervangen: leningen die onder garantie vallen, ontvangen de risicoweging van de garant — niet die van het onderliggende onderpand — waardoor de kapitaalvereisten voor de bank substantieel afnemen.</w:t>
      </w:r>
    </w:p>
    <w:p w14:paraId="3D370FFF" w14:textId="77777777" w:rsidR="00510D38" w:rsidRDefault="00000000">
      <w:pPr>
        <w:pStyle w:val="Kop1"/>
        <w:pBdr>
          <w:top w:val="single" w:sz="12" w:space="0" w:color="1A1614"/>
        </w:pBdr>
      </w:pPr>
      <w:r>
        <w:lastRenderedPageBreak/>
        <w:t>4. Vijf prioriteiten voor een functioneel Europees IP-financieringssysteem</w:t>
      </w:r>
    </w:p>
    <w:p w14:paraId="046D6F40" w14:textId="4AA883F2" w:rsidR="00510D38" w:rsidRDefault="00000000">
      <w:pPr>
        <w:spacing w:after="180"/>
        <w:jc w:val="both"/>
      </w:pPr>
      <w:r>
        <w:rPr>
          <w:color w:val="3D3530"/>
        </w:rPr>
        <w:t xml:space="preserve">Het rapport identificeert </w:t>
      </w:r>
      <w:r w:rsidR="00F96C0D">
        <w:rPr>
          <w:color w:val="3D3530"/>
        </w:rPr>
        <w:t>18</w:t>
      </w:r>
      <w:r>
        <w:rPr>
          <w:color w:val="3D3530"/>
        </w:rPr>
        <w:t xml:space="preserve"> mogelijke beleidsmaatregelen, verdeeld over drie pijlers: het faciliteren van bancair krediet, het versterken van IE-waarderingspraktijken, en het bevorderen van financiering buiten bancair krediet. Een subset van de meest direct uitvoerbare maatregelen is geordend in vijf opeenvolgende, onderling afhankelijke prioriteiten.</w:t>
      </w:r>
    </w:p>
    <w:p w14:paraId="755193E8" w14:textId="77777777" w:rsidR="00510D38" w:rsidRDefault="00510D38">
      <w:pPr>
        <w:spacing w:before="12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8306"/>
      </w:tblGrid>
      <w:tr w:rsidR="00510D38" w14:paraId="4CA41E1A" w14:textId="77777777">
        <w:tblPrEx>
          <w:tblCellMar>
            <w:top w:w="0" w:type="dxa"/>
            <w:bottom w:w="0" w:type="dxa"/>
          </w:tblCellMar>
        </w:tblPrEx>
        <w:tc>
          <w:tcPr>
            <w:tcW w:w="720" w:type="dxa"/>
            <w:tcBorders>
              <w:top w:val="none" w:sz="0" w:space="0" w:color="FFFFFF"/>
              <w:left w:val="none" w:sz="0" w:space="0" w:color="FFFFFF"/>
              <w:bottom w:val="none" w:sz="0" w:space="0" w:color="FFFFFF"/>
              <w:right w:val="none" w:sz="0" w:space="0" w:color="FFFFFF"/>
            </w:tcBorders>
            <w:shd w:val="clear" w:color="auto" w:fill="1A1614"/>
            <w:tcMar>
              <w:top w:w="60" w:type="dxa"/>
              <w:left w:w="60" w:type="dxa"/>
              <w:bottom w:w="60" w:type="dxa"/>
              <w:right w:w="60" w:type="dxa"/>
            </w:tcMar>
          </w:tcPr>
          <w:p w14:paraId="55A42B2F" w14:textId="77777777" w:rsidR="00510D38" w:rsidRDefault="00000000">
            <w:pPr>
              <w:jc w:val="center"/>
            </w:pPr>
            <w:r>
              <w:rPr>
                <w:rFonts w:ascii="Georgia" w:eastAsia="Georgia" w:hAnsi="Georgia" w:cs="Georgia"/>
                <w:b/>
                <w:bCs/>
                <w:color w:val="FFFFFF"/>
                <w:sz w:val="28"/>
                <w:szCs w:val="28"/>
              </w:rPr>
              <w:t>1</w:t>
            </w:r>
          </w:p>
        </w:tc>
        <w:tc>
          <w:tcPr>
            <w:tcW w:w="8306" w:type="dxa"/>
            <w:tcBorders>
              <w:top w:val="none" w:sz="0" w:space="0" w:color="FFFFFF"/>
              <w:left w:val="none" w:sz="0" w:space="0" w:color="FFFFFF"/>
              <w:bottom w:val="single" w:sz="4" w:space="0" w:color="D6CFC8"/>
              <w:right w:val="none" w:sz="0" w:space="0" w:color="FFFFFF"/>
            </w:tcBorders>
            <w:shd w:val="clear" w:color="auto" w:fill="FFFFFF"/>
            <w:tcMar>
              <w:top w:w="60" w:type="dxa"/>
              <w:left w:w="180" w:type="dxa"/>
              <w:bottom w:w="120" w:type="dxa"/>
              <w:right w:w="0" w:type="dxa"/>
            </w:tcMar>
          </w:tcPr>
          <w:p w14:paraId="16198650" w14:textId="77777777" w:rsidR="00510D38" w:rsidRDefault="00000000">
            <w:pPr>
              <w:spacing w:after="60"/>
            </w:pPr>
            <w:r>
              <w:rPr>
                <w:rFonts w:ascii="Georgia" w:eastAsia="Georgia" w:hAnsi="Georgia" w:cs="Georgia"/>
                <w:b/>
                <w:bCs/>
                <w:color w:val="1A1614"/>
              </w:rPr>
              <w:t>Maak IE zichtbaar</w:t>
            </w:r>
          </w:p>
          <w:p w14:paraId="6C42758A" w14:textId="77777777" w:rsidR="00510D38" w:rsidRDefault="00000000">
            <w:r>
              <w:rPr>
                <w:color w:val="6B635D"/>
                <w:sz w:val="20"/>
                <w:szCs w:val="20"/>
              </w:rPr>
              <w:t>Slechts 13% van de IE-rechthebbenden heeft ooit geprobeerd financiering te verkrijgen op basis van hun IE-activa. Het rapport stelt een vrijwillig, uitgebreid openbaarmakingskader voor — opgebouwd vanuit de bestaande IP Scan van het SME-fonds — waarmee bedrijven gestructureerde informatie over hun IE-portefeuille kunnen delen in een voor financiële actoren bruikbaar formaat. Dit kader is complementair aan bestaande verslaggevingsnormen (IFRS, IAS 38) en schept geen nieuwe rapportageverplichtingen.</w:t>
            </w:r>
          </w:p>
        </w:tc>
      </w:tr>
    </w:tbl>
    <w:p w14:paraId="4F23A5BC" w14:textId="77777777" w:rsidR="00510D38" w:rsidRDefault="00510D38">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8306"/>
      </w:tblGrid>
      <w:tr w:rsidR="00510D38" w14:paraId="6153AA82" w14:textId="77777777">
        <w:tblPrEx>
          <w:tblCellMar>
            <w:top w:w="0" w:type="dxa"/>
            <w:bottom w:w="0" w:type="dxa"/>
          </w:tblCellMar>
        </w:tblPrEx>
        <w:tc>
          <w:tcPr>
            <w:tcW w:w="720" w:type="dxa"/>
            <w:tcBorders>
              <w:top w:val="none" w:sz="0" w:space="0" w:color="FFFFFF"/>
              <w:left w:val="none" w:sz="0" w:space="0" w:color="FFFFFF"/>
              <w:bottom w:val="none" w:sz="0" w:space="0" w:color="FFFFFF"/>
              <w:right w:val="none" w:sz="0" w:space="0" w:color="FFFFFF"/>
            </w:tcBorders>
            <w:shd w:val="clear" w:color="auto" w:fill="1A1614"/>
            <w:tcMar>
              <w:top w:w="60" w:type="dxa"/>
              <w:left w:w="60" w:type="dxa"/>
              <w:bottom w:w="60" w:type="dxa"/>
              <w:right w:w="60" w:type="dxa"/>
            </w:tcMar>
          </w:tcPr>
          <w:p w14:paraId="2599F26B" w14:textId="77777777" w:rsidR="00510D38" w:rsidRDefault="00000000">
            <w:pPr>
              <w:jc w:val="center"/>
            </w:pPr>
            <w:r>
              <w:rPr>
                <w:rFonts w:ascii="Georgia" w:eastAsia="Georgia" w:hAnsi="Georgia" w:cs="Georgia"/>
                <w:b/>
                <w:bCs/>
                <w:color w:val="FFFFFF"/>
                <w:sz w:val="28"/>
                <w:szCs w:val="28"/>
              </w:rPr>
              <w:t>2</w:t>
            </w:r>
          </w:p>
        </w:tc>
        <w:tc>
          <w:tcPr>
            <w:tcW w:w="8306" w:type="dxa"/>
            <w:tcBorders>
              <w:top w:val="none" w:sz="0" w:space="0" w:color="FFFFFF"/>
              <w:left w:val="none" w:sz="0" w:space="0" w:color="FFFFFF"/>
              <w:bottom w:val="single" w:sz="4" w:space="0" w:color="D6CFC8"/>
              <w:right w:val="none" w:sz="0" w:space="0" w:color="FFFFFF"/>
            </w:tcBorders>
            <w:shd w:val="clear" w:color="auto" w:fill="FFFFFF"/>
            <w:tcMar>
              <w:top w:w="60" w:type="dxa"/>
              <w:left w:w="180" w:type="dxa"/>
              <w:bottom w:w="120" w:type="dxa"/>
              <w:right w:w="0" w:type="dxa"/>
            </w:tcMar>
          </w:tcPr>
          <w:p w14:paraId="1DF5B389" w14:textId="77777777" w:rsidR="00510D38" w:rsidRDefault="00000000">
            <w:pPr>
              <w:spacing w:after="60"/>
            </w:pPr>
            <w:r>
              <w:rPr>
                <w:rFonts w:ascii="Georgia" w:eastAsia="Georgia" w:hAnsi="Georgia" w:cs="Georgia"/>
                <w:b/>
                <w:bCs/>
                <w:color w:val="1A1614"/>
              </w:rPr>
              <w:t>Ken geloofwaardige waarde toe aan IE</w:t>
            </w:r>
          </w:p>
          <w:p w14:paraId="75F55F3D" w14:textId="77777777" w:rsidR="00510D38" w:rsidRDefault="00000000">
            <w:r>
              <w:rPr>
                <w:color w:val="6B635D"/>
                <w:sz w:val="20"/>
                <w:szCs w:val="20"/>
              </w:rPr>
              <w:t xml:space="preserve">Waarderingsmethodologieën verschillen sterk naar beoogd gebruik, type immaterieel actief en geografische locatie. Het rapport pleit voor een Europese IE-waarderingsarchitectuur in lijn met de International </w:t>
            </w:r>
            <w:proofErr w:type="spellStart"/>
            <w:r>
              <w:rPr>
                <w:color w:val="6B635D"/>
                <w:sz w:val="20"/>
                <w:szCs w:val="20"/>
              </w:rPr>
              <w:t>Valuation</w:t>
            </w:r>
            <w:proofErr w:type="spellEnd"/>
            <w:r>
              <w:rPr>
                <w:color w:val="6B635D"/>
                <w:sz w:val="20"/>
                <w:szCs w:val="20"/>
              </w:rPr>
              <w:t xml:space="preserve"> Standards (IVS 210 — Immateriële activa), gebaseerd op gemeenschappelijke beginselen, operationele </w:t>
            </w:r>
            <w:proofErr w:type="spellStart"/>
            <w:r>
              <w:rPr>
                <w:color w:val="6B635D"/>
                <w:sz w:val="20"/>
                <w:szCs w:val="20"/>
              </w:rPr>
              <w:t>workflows</w:t>
            </w:r>
            <w:proofErr w:type="spellEnd"/>
            <w:r>
              <w:rPr>
                <w:color w:val="6B635D"/>
                <w:sz w:val="20"/>
                <w:szCs w:val="20"/>
              </w:rPr>
              <w:t xml:space="preserve"> en sectorspecifieke </w:t>
            </w:r>
            <w:proofErr w:type="spellStart"/>
            <w:r>
              <w:rPr>
                <w:color w:val="6B635D"/>
                <w:sz w:val="20"/>
                <w:szCs w:val="20"/>
              </w:rPr>
              <w:t>guidance</w:t>
            </w:r>
            <w:proofErr w:type="spellEnd"/>
            <w:r>
              <w:rPr>
                <w:color w:val="6B635D"/>
                <w:sz w:val="20"/>
                <w:szCs w:val="20"/>
              </w:rPr>
              <w:t>. Een opleidingsprogramma voor IE-waarderingsprofessionals, eventuele certificeringsroutes, en directe subsidies voor IE-waarderingen voor kmo's vormen aanvullende elementen.</w:t>
            </w:r>
          </w:p>
        </w:tc>
      </w:tr>
    </w:tbl>
    <w:p w14:paraId="61C12719" w14:textId="77777777" w:rsidR="00510D38" w:rsidRDefault="00510D38">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8306"/>
      </w:tblGrid>
      <w:tr w:rsidR="00510D38" w14:paraId="2C54038B" w14:textId="77777777">
        <w:tblPrEx>
          <w:tblCellMar>
            <w:top w:w="0" w:type="dxa"/>
            <w:bottom w:w="0" w:type="dxa"/>
          </w:tblCellMar>
        </w:tblPrEx>
        <w:tc>
          <w:tcPr>
            <w:tcW w:w="720" w:type="dxa"/>
            <w:tcBorders>
              <w:top w:val="none" w:sz="0" w:space="0" w:color="FFFFFF"/>
              <w:left w:val="none" w:sz="0" w:space="0" w:color="FFFFFF"/>
              <w:bottom w:val="none" w:sz="0" w:space="0" w:color="FFFFFF"/>
              <w:right w:val="none" w:sz="0" w:space="0" w:color="FFFFFF"/>
            </w:tcBorders>
            <w:shd w:val="clear" w:color="auto" w:fill="1A1614"/>
            <w:tcMar>
              <w:top w:w="60" w:type="dxa"/>
              <w:left w:w="60" w:type="dxa"/>
              <w:bottom w:w="60" w:type="dxa"/>
              <w:right w:w="60" w:type="dxa"/>
            </w:tcMar>
          </w:tcPr>
          <w:p w14:paraId="4A05DD2C" w14:textId="77777777" w:rsidR="00510D38" w:rsidRDefault="00000000">
            <w:pPr>
              <w:jc w:val="center"/>
            </w:pPr>
            <w:r>
              <w:rPr>
                <w:rFonts w:ascii="Georgia" w:eastAsia="Georgia" w:hAnsi="Georgia" w:cs="Georgia"/>
                <w:b/>
                <w:bCs/>
                <w:color w:val="FFFFFF"/>
                <w:sz w:val="28"/>
                <w:szCs w:val="28"/>
              </w:rPr>
              <w:t>3</w:t>
            </w:r>
          </w:p>
        </w:tc>
        <w:tc>
          <w:tcPr>
            <w:tcW w:w="8306" w:type="dxa"/>
            <w:tcBorders>
              <w:top w:val="none" w:sz="0" w:space="0" w:color="FFFFFF"/>
              <w:left w:val="none" w:sz="0" w:space="0" w:color="FFFFFF"/>
              <w:bottom w:val="single" w:sz="4" w:space="0" w:color="D6CFC8"/>
              <w:right w:val="none" w:sz="0" w:space="0" w:color="FFFFFF"/>
            </w:tcBorders>
            <w:shd w:val="clear" w:color="auto" w:fill="FFFFFF"/>
            <w:tcMar>
              <w:top w:w="60" w:type="dxa"/>
              <w:left w:w="180" w:type="dxa"/>
              <w:bottom w:w="120" w:type="dxa"/>
              <w:right w:w="0" w:type="dxa"/>
            </w:tcMar>
          </w:tcPr>
          <w:p w14:paraId="5E02BAD2" w14:textId="77777777" w:rsidR="00510D38" w:rsidRDefault="00000000">
            <w:pPr>
              <w:spacing w:after="60"/>
            </w:pPr>
            <w:r>
              <w:rPr>
                <w:rFonts w:ascii="Georgia" w:eastAsia="Georgia" w:hAnsi="Georgia" w:cs="Georgia"/>
                <w:b/>
                <w:bCs/>
                <w:color w:val="1A1614"/>
              </w:rPr>
              <w:t>Zet IE-waarde om in kredietverlening</w:t>
            </w:r>
          </w:p>
          <w:p w14:paraId="29C60253" w14:textId="77777777" w:rsidR="00510D38" w:rsidRDefault="00000000">
            <w:r>
              <w:rPr>
                <w:color w:val="6B635D"/>
                <w:sz w:val="20"/>
                <w:szCs w:val="20"/>
              </w:rPr>
              <w:t>Garantie-instrumenten fungeren als structurele schakels: door een deel van het kredietrisico te absorberen, stellen zij kredietverstrekkers in staat IE-informatie te integreren in kredietbeoordelingen zonder de volledige kapitaallast van een ongedekte lening te dragen. Het rapport beveelt specifieke kredietgarantieproducten voor IP-gedekte leningen aan, publieke leningen met IE als onderpand (in samenwerking met de EIB-groep en nationale ontwikkelingsbanken), en verkenning van IE-verzekeringsproducten tegen risico's zoals inbreuk en handhaving.</w:t>
            </w:r>
          </w:p>
        </w:tc>
      </w:tr>
    </w:tbl>
    <w:p w14:paraId="2E18B9B9" w14:textId="77777777" w:rsidR="00510D38" w:rsidRDefault="00510D38">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8306"/>
      </w:tblGrid>
      <w:tr w:rsidR="00510D38" w14:paraId="1C509DCB" w14:textId="77777777">
        <w:tblPrEx>
          <w:tblCellMar>
            <w:top w:w="0" w:type="dxa"/>
            <w:bottom w:w="0" w:type="dxa"/>
          </w:tblCellMar>
        </w:tblPrEx>
        <w:tc>
          <w:tcPr>
            <w:tcW w:w="720" w:type="dxa"/>
            <w:tcBorders>
              <w:top w:val="none" w:sz="0" w:space="0" w:color="FFFFFF"/>
              <w:left w:val="none" w:sz="0" w:space="0" w:color="FFFFFF"/>
              <w:bottom w:val="none" w:sz="0" w:space="0" w:color="FFFFFF"/>
              <w:right w:val="none" w:sz="0" w:space="0" w:color="FFFFFF"/>
            </w:tcBorders>
            <w:shd w:val="clear" w:color="auto" w:fill="1A1614"/>
            <w:tcMar>
              <w:top w:w="60" w:type="dxa"/>
              <w:left w:w="60" w:type="dxa"/>
              <w:bottom w:w="60" w:type="dxa"/>
              <w:right w:w="60" w:type="dxa"/>
            </w:tcMar>
          </w:tcPr>
          <w:p w14:paraId="0599B9F7" w14:textId="77777777" w:rsidR="00510D38" w:rsidRDefault="00000000">
            <w:pPr>
              <w:jc w:val="center"/>
            </w:pPr>
            <w:r>
              <w:rPr>
                <w:rFonts w:ascii="Georgia" w:eastAsia="Georgia" w:hAnsi="Georgia" w:cs="Georgia"/>
                <w:b/>
                <w:bCs/>
                <w:color w:val="FFFFFF"/>
                <w:sz w:val="28"/>
                <w:szCs w:val="28"/>
              </w:rPr>
              <w:t>4</w:t>
            </w:r>
          </w:p>
        </w:tc>
        <w:tc>
          <w:tcPr>
            <w:tcW w:w="8306" w:type="dxa"/>
            <w:tcBorders>
              <w:top w:val="none" w:sz="0" w:space="0" w:color="FFFFFF"/>
              <w:left w:val="none" w:sz="0" w:space="0" w:color="FFFFFF"/>
              <w:bottom w:val="single" w:sz="4" w:space="0" w:color="D6CFC8"/>
              <w:right w:val="none" w:sz="0" w:space="0" w:color="FFFFFF"/>
            </w:tcBorders>
            <w:shd w:val="clear" w:color="auto" w:fill="FFFFFF"/>
            <w:tcMar>
              <w:top w:w="60" w:type="dxa"/>
              <w:left w:w="180" w:type="dxa"/>
              <w:bottom w:w="120" w:type="dxa"/>
              <w:right w:w="0" w:type="dxa"/>
            </w:tcMar>
          </w:tcPr>
          <w:p w14:paraId="757FDE57" w14:textId="77777777" w:rsidR="00510D38" w:rsidRDefault="00000000">
            <w:pPr>
              <w:spacing w:after="60"/>
            </w:pPr>
            <w:r>
              <w:rPr>
                <w:rFonts w:ascii="Georgia" w:eastAsia="Georgia" w:hAnsi="Georgia" w:cs="Georgia"/>
                <w:b/>
                <w:bCs/>
                <w:color w:val="1A1614"/>
              </w:rPr>
              <w:t>Bouw een robuuste bewijsbasis</w:t>
            </w:r>
          </w:p>
          <w:p w14:paraId="4581B6DA" w14:textId="77777777" w:rsidR="00510D38" w:rsidRDefault="00000000">
            <w:r>
              <w:rPr>
                <w:color w:val="6B635D"/>
                <w:sz w:val="20"/>
                <w:szCs w:val="20"/>
              </w:rPr>
              <w:t xml:space="preserve">Zonder betrouwbare, gestandaardiseerde transactiedata kunnen financiële actoren IE-gerelateerde risico's niet op schaal beoordelen. Het rapport stelt voor: een gerichte datavereistenkader in samenwerking met financiële instellingen, koppeling van bestaande datasets (IE-registers, handelsregisters, garantieprogramma's), een </w:t>
            </w:r>
            <w:proofErr w:type="spellStart"/>
            <w:r>
              <w:rPr>
                <w:color w:val="6B635D"/>
                <w:sz w:val="20"/>
                <w:szCs w:val="20"/>
              </w:rPr>
              <w:t>privacyrespecterende</w:t>
            </w:r>
            <w:proofErr w:type="spellEnd"/>
            <w:r>
              <w:rPr>
                <w:color w:val="6B635D"/>
                <w:sz w:val="20"/>
                <w:szCs w:val="20"/>
              </w:rPr>
              <w:t xml:space="preserve"> transactiedataset opgebouwd via garantie-instrumentpartners, en een gecentraliseerd register van IE-pandrechten.</w:t>
            </w:r>
          </w:p>
        </w:tc>
      </w:tr>
    </w:tbl>
    <w:p w14:paraId="5BC22AFE" w14:textId="77777777" w:rsidR="00510D38" w:rsidRDefault="00510D38">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8306"/>
      </w:tblGrid>
      <w:tr w:rsidR="00510D38" w14:paraId="18E534E3" w14:textId="77777777">
        <w:tblPrEx>
          <w:tblCellMar>
            <w:top w:w="0" w:type="dxa"/>
            <w:bottom w:w="0" w:type="dxa"/>
          </w:tblCellMar>
        </w:tblPrEx>
        <w:tc>
          <w:tcPr>
            <w:tcW w:w="720" w:type="dxa"/>
            <w:tcBorders>
              <w:top w:val="none" w:sz="0" w:space="0" w:color="FFFFFF"/>
              <w:left w:val="none" w:sz="0" w:space="0" w:color="FFFFFF"/>
              <w:bottom w:val="none" w:sz="0" w:space="0" w:color="FFFFFF"/>
              <w:right w:val="none" w:sz="0" w:space="0" w:color="FFFFFF"/>
            </w:tcBorders>
            <w:shd w:val="clear" w:color="auto" w:fill="1A1614"/>
            <w:tcMar>
              <w:top w:w="60" w:type="dxa"/>
              <w:left w:w="60" w:type="dxa"/>
              <w:bottom w:w="60" w:type="dxa"/>
              <w:right w:w="60" w:type="dxa"/>
            </w:tcMar>
          </w:tcPr>
          <w:p w14:paraId="42F83F98" w14:textId="77777777" w:rsidR="00510D38" w:rsidRDefault="00000000">
            <w:pPr>
              <w:jc w:val="center"/>
            </w:pPr>
            <w:r>
              <w:rPr>
                <w:rFonts w:ascii="Georgia" w:eastAsia="Georgia" w:hAnsi="Georgia" w:cs="Georgia"/>
                <w:b/>
                <w:bCs/>
                <w:color w:val="FFFFFF"/>
                <w:sz w:val="28"/>
                <w:szCs w:val="28"/>
              </w:rPr>
              <w:t>5</w:t>
            </w:r>
          </w:p>
        </w:tc>
        <w:tc>
          <w:tcPr>
            <w:tcW w:w="8306" w:type="dxa"/>
            <w:tcBorders>
              <w:top w:val="none" w:sz="0" w:space="0" w:color="FFFFFF"/>
              <w:left w:val="none" w:sz="0" w:space="0" w:color="FFFFFF"/>
              <w:bottom w:val="single" w:sz="4" w:space="0" w:color="D6CFC8"/>
              <w:right w:val="none" w:sz="0" w:space="0" w:color="FFFFFF"/>
            </w:tcBorders>
            <w:shd w:val="clear" w:color="auto" w:fill="FFFFFF"/>
            <w:tcMar>
              <w:top w:w="60" w:type="dxa"/>
              <w:left w:w="180" w:type="dxa"/>
              <w:bottom w:w="120" w:type="dxa"/>
              <w:right w:w="0" w:type="dxa"/>
            </w:tcMar>
          </w:tcPr>
          <w:p w14:paraId="48AC8495" w14:textId="77777777" w:rsidR="00510D38" w:rsidRDefault="00000000">
            <w:pPr>
              <w:spacing w:after="60"/>
            </w:pPr>
            <w:r>
              <w:rPr>
                <w:rFonts w:ascii="Georgia" w:eastAsia="Georgia" w:hAnsi="Georgia" w:cs="Georgia"/>
                <w:b/>
                <w:bCs/>
                <w:color w:val="1A1614"/>
              </w:rPr>
              <w:t>Versterk coördinatie</w:t>
            </w:r>
          </w:p>
          <w:p w14:paraId="1D672438" w14:textId="77777777" w:rsidR="00510D38" w:rsidRDefault="00000000">
            <w:r>
              <w:rPr>
                <w:color w:val="6B635D"/>
                <w:sz w:val="20"/>
                <w:szCs w:val="20"/>
              </w:rPr>
              <w:t>Fragmentatie van praktijken, beperkte methodologische convergentie en ongelijke toegang voor kmo's ondermijnen het vertrouwen in waarderingsuitkomsten en de schaalbaarheid van het systeem. Het rapport pleit voor gestructureerde coördinatie op het gebied van openbaarmakingsnormen, kwaliteitscontrole, toegang tot een Europees ecosysteem van gekwalificeerde IE-waarderingsexperts, ontwikkeling van digitale tools, gegevensverzameling, en opleiding van financiële professionals en innovatieve ondernemers.</w:t>
            </w:r>
          </w:p>
        </w:tc>
      </w:tr>
    </w:tbl>
    <w:p w14:paraId="7E140B86" w14:textId="77777777" w:rsidR="00510D38" w:rsidRDefault="00000000">
      <w:pPr>
        <w:pStyle w:val="Kop1"/>
        <w:pBdr>
          <w:top w:val="single" w:sz="12" w:space="0" w:color="1A1614"/>
        </w:pBdr>
      </w:pPr>
      <w:r>
        <w:lastRenderedPageBreak/>
        <w:t>5. Juridische aanbevelingen: specifieke maatregelen</w:t>
      </w:r>
    </w:p>
    <w:p w14:paraId="620B0F3C" w14:textId="77777777" w:rsidR="00510D38" w:rsidRDefault="00000000">
      <w:pPr>
        <w:pStyle w:val="Kop2"/>
      </w:pPr>
      <w:r>
        <w:t>Harmonisatie van zekerheidsrechten en een centraal pandregister</w:t>
      </w:r>
    </w:p>
    <w:p w14:paraId="5D545EDD" w14:textId="77777777" w:rsidR="00510D38" w:rsidRDefault="00000000">
      <w:pPr>
        <w:spacing w:after="180"/>
        <w:jc w:val="both"/>
      </w:pPr>
      <w:r>
        <w:rPr>
          <w:color w:val="3D3530"/>
        </w:rPr>
        <w:t>Het ontbreken van Europese harmonisatie inzake gewaarborgde transacties met IE-activa leidt tot uiteenlopende rechtsstelsels, zelfs binnen de EU. Naar analogie van de Financial Collateral Arrangement Directive (Richtlijn 2002/47/EG) — die een geharmoniseerd kader schept voor financiëlezekerheidsovereenkomsten op financiële instrumenten en tegoeden — ontbreekt een vergelijkbaar instrument voor IE-activa tot op heden volledig.</w:t>
      </w:r>
    </w:p>
    <w:p w14:paraId="08C83DF9" w14:textId="77777777" w:rsidR="00510D38" w:rsidRDefault="00000000">
      <w:pPr>
        <w:spacing w:after="180"/>
        <w:jc w:val="both"/>
      </w:pPr>
      <w:r>
        <w:rPr>
          <w:color w:val="3D3530"/>
        </w:rPr>
        <w:t xml:space="preserve">Het rapport stelt de oprichting voor van een centraal EU-pandregister voor IE-activa, dat kredietverstrekkers in staat stelt te verifiëren of een actief reeds als onderpand is ingebracht. Dit register zou de kenmerken immutabiliteit, doorzoekbaarheid en volledigheid moeten bezitten, en kan worden opgebouwd op basis van de bestaande Business Registers Interconnection System (BRIS)-infrastructuur en de eDelivery-standaarden die ook worden gehanteerd in het EU </w:t>
      </w:r>
      <w:proofErr w:type="spellStart"/>
      <w:r>
        <w:rPr>
          <w:color w:val="3D3530"/>
        </w:rPr>
        <w:t>Inc</w:t>
      </w:r>
      <w:proofErr w:type="spellEnd"/>
      <w:r>
        <w:rPr>
          <w:color w:val="3D3530"/>
        </w:rPr>
        <w:t>-voorstel (</w:t>
      </w:r>
      <w:proofErr w:type="gramStart"/>
      <w:r>
        <w:rPr>
          <w:color w:val="3D3530"/>
        </w:rPr>
        <w:t>COM(</w:t>
      </w:r>
      <w:proofErr w:type="gramEnd"/>
      <w:r>
        <w:rPr>
          <w:color w:val="3D3530"/>
        </w:rPr>
        <w:t>2026) 321).</w:t>
      </w:r>
    </w:p>
    <w:p w14:paraId="04FE2C56" w14:textId="77777777" w:rsidR="00510D38" w:rsidRDefault="00000000">
      <w:pPr>
        <w:spacing w:after="180"/>
        <w:jc w:val="both"/>
      </w:pPr>
      <w:r>
        <w:rPr>
          <w:color w:val="3D3530"/>
        </w:rPr>
        <w:t>Voorts overweegt het rapport de EU ertoe aan te zetten een nieuwe internationale conventie inzake rechten op immateriële activa te initiëren — analoog aan de Cape Town Convention on International Interests in Mobile Equipment (2001) — teneinde een geharmoniseerde aanpak te creëren voor de totstandkoming, registratie en perfectie van zekerheidsrechten op IE-activa bij grensoverschrijdende transacties.</w:t>
      </w:r>
    </w:p>
    <w:p w14:paraId="25F79F88" w14:textId="77777777" w:rsidR="00510D38" w:rsidRDefault="00000000">
      <w:pPr>
        <w:pStyle w:val="Kop2"/>
      </w:pPr>
      <w:r>
        <w:t>Bescherming van schuldeisersrechten bij insolventie</w:t>
      </w:r>
    </w:p>
    <w:p w14:paraId="27AFF867" w14:textId="77777777" w:rsidR="00510D38" w:rsidRDefault="00000000">
      <w:pPr>
        <w:spacing w:after="180"/>
        <w:jc w:val="both"/>
      </w:pPr>
      <w:r>
        <w:rPr>
          <w:color w:val="3D3530"/>
        </w:rPr>
        <w:t>Bij IE-activa met beperkte separabiliteit — waarbij de waarde van het actief onlosmakelijk verbonden is met de onderneming die het exploiteert — is het veelal voordeliger voor de terugbetaling dat de eigenaar het gebruik van het actief behoudt, ook bij tijdelijke liquiditeitsproblemen. Dit sluit aan bij het preventief herstelkader uit Richtlijn (EU) 2019/1023, dat beoogt levensvatbare ondernemingen in staat te stellen tijdige herstructurering te doorlopen vóór insolventie.</w:t>
      </w:r>
    </w:p>
    <w:p w14:paraId="24D952A6" w14:textId="77777777" w:rsidR="00510D38" w:rsidRDefault="00000000">
      <w:pPr>
        <w:spacing w:after="180"/>
        <w:jc w:val="both"/>
      </w:pPr>
      <w:r>
        <w:rPr>
          <w:color w:val="3D3530"/>
        </w:rPr>
        <w:t>Volgens de in het rapport vermelde wetgevingsstatus markeren het voorlopige politieke akkoord van 19 november 2025 en de plenaire goedkeuring door het Europees Parlement van 10 maart 2026 een significante stap in de harmonisatie van het Europese insolventierecht, zij het dat formele aanneming door de Raad ten tijde van het rapport nog hangende was. Het rapport verwacht dat de herziene richtlijn onder meer betere bescherming zal bieden voor gedekte schuldeisers bij herstructureringen waarbij IE-activa als onderpand zijn ingebracht, en vroegtijdigere ingrijpingsmogelijkheden zal creëren die verlies van IE-waarde kunnen beperken.</w:t>
      </w:r>
    </w:p>
    <w:p w14:paraId="40446BDE" w14:textId="77777777" w:rsidR="00510D38" w:rsidRDefault="00000000">
      <w:pPr>
        <w:pStyle w:val="Kop2"/>
      </w:pPr>
      <w:r>
        <w:t>Bestrijding van IE-inbreuk en bevordering van alternatieve geschillenbeslechting</w:t>
      </w:r>
    </w:p>
    <w:p w14:paraId="1BEAFB04" w14:textId="251A9C52" w:rsidR="00510D38" w:rsidRDefault="00000000">
      <w:pPr>
        <w:spacing w:after="180"/>
        <w:jc w:val="both"/>
      </w:pPr>
      <w:r>
        <w:rPr>
          <w:color w:val="3D3530"/>
        </w:rPr>
        <w:t xml:space="preserve">De waarde van een IE-actief als onderpand is mede afhankelijk van de effectieve handhaafbaarheid ervan. Handhavingsrichtlijn 2004/48/EG betreffende de handhaving van intellectuele-eigendomsrechten legt de grondslag voor civielrechtelijke handhaving in de EU. Empirisch onderzoek van Gill en Heller (2024), gebaseerd op de gespreide omzetting van deze richtlijn, toont aan dat sterkere IE-handhaving de </w:t>
      </w:r>
      <w:r w:rsidR="0056440A">
        <w:rPr>
          <w:color w:val="3D3530"/>
        </w:rPr>
        <w:t>lange termijn</w:t>
      </w:r>
      <w:r>
        <w:rPr>
          <w:color w:val="3D3530"/>
        </w:rPr>
        <w:t xml:space="preserve"> schuldquote van patenterende ondernemingen significant verhoogde — met een onevenredig effect van </w:t>
      </w:r>
      <w:proofErr w:type="gramStart"/>
      <w:r>
        <w:rPr>
          <w:color w:val="3D3530"/>
        </w:rPr>
        <w:t>circa</w:t>
      </w:r>
      <w:proofErr w:type="gramEnd"/>
      <w:r>
        <w:rPr>
          <w:color w:val="3D3530"/>
        </w:rPr>
        <w:t xml:space="preserve"> 20% voor ondernemingen met de waardevolste portefeuilles.</w:t>
      </w:r>
    </w:p>
    <w:p w14:paraId="20AC9A5A" w14:textId="77777777" w:rsidR="00510D38" w:rsidRDefault="00000000">
      <w:pPr>
        <w:spacing w:after="180"/>
        <w:jc w:val="both"/>
      </w:pPr>
      <w:r>
        <w:rPr>
          <w:color w:val="3D3530"/>
        </w:rPr>
        <w:t>Het rapport beveelt aan het EUIPO-mediationcentrum — dat in het rapport als bestaand instrument wordt opgevoerd — prominenter te promoten bij financiële instellingen, en te bezien in hoeverre ADR-mechanismen (</w:t>
      </w:r>
      <w:proofErr w:type="spellStart"/>
      <w:r>
        <w:rPr>
          <w:color w:val="3D3530"/>
        </w:rPr>
        <w:t>Alternative</w:t>
      </w:r>
      <w:proofErr w:type="spellEnd"/>
      <w:r>
        <w:rPr>
          <w:color w:val="3D3530"/>
        </w:rPr>
        <w:t xml:space="preserve"> </w:t>
      </w:r>
      <w:proofErr w:type="spellStart"/>
      <w:r>
        <w:rPr>
          <w:color w:val="3D3530"/>
        </w:rPr>
        <w:t>Dispute</w:t>
      </w:r>
      <w:proofErr w:type="spellEnd"/>
      <w:r>
        <w:rPr>
          <w:color w:val="3D3530"/>
        </w:rPr>
        <w:t xml:space="preserve"> </w:t>
      </w:r>
      <w:proofErr w:type="spellStart"/>
      <w:r>
        <w:rPr>
          <w:color w:val="3D3530"/>
        </w:rPr>
        <w:t>Resolution</w:t>
      </w:r>
      <w:proofErr w:type="spellEnd"/>
      <w:r>
        <w:rPr>
          <w:color w:val="3D3530"/>
        </w:rPr>
        <w:t xml:space="preserve">) kunnen worden uitgebreid naar bij nationale </w:t>
      </w:r>
      <w:r>
        <w:rPr>
          <w:color w:val="3D3530"/>
        </w:rPr>
        <w:lastRenderedPageBreak/>
        <w:t>rechters aanhangige inbreukgeschillen. Snellere en goedkopere beslechting van inbreukzaken versterkt de zekerheidswaarde van IE-portefeuilles als onderpand.</w:t>
      </w:r>
    </w:p>
    <w:p w14:paraId="18AA36A1" w14:textId="77777777" w:rsidR="00510D38" w:rsidRDefault="00000000">
      <w:pPr>
        <w:pStyle w:val="Kop2"/>
      </w:pPr>
      <w:r>
        <w:t>Securitisatie van IP-gedekte leningen</w:t>
      </w:r>
    </w:p>
    <w:p w14:paraId="54FE8059" w14:textId="2D1D2C20" w:rsidR="00510D38" w:rsidRDefault="00000000">
      <w:pPr>
        <w:spacing w:after="180"/>
        <w:jc w:val="both"/>
      </w:pPr>
      <w:r>
        <w:rPr>
          <w:color w:val="3D3530"/>
        </w:rPr>
        <w:t>Het rapport verkent — nadrukkelijk als richting voor verder onderzoek, niet als bestaand instrument — de mogelijkheid om IP-gedekte leningen te securitiseren als instrument om de prudentiële kapitaaldruk op banken te verlichten. Door een portefeuille van IP-gedekte leningen te bundelen en om te zetten in verhandelbare effecten, kunnen risico</w:t>
      </w:r>
      <w:r w:rsidR="0056440A">
        <w:rPr>
          <w:color w:val="3D3530"/>
        </w:rPr>
        <w:t>’s</w:t>
      </w:r>
      <w:r>
        <w:rPr>
          <w:color w:val="3D3530"/>
        </w:rPr>
        <w:t xml:space="preserve"> worden gespreid over bredere groepen institutionele beleggers. Het rapport stelt daarbij uitdrukkelijk vast dat er op dit moment geen specifiek EU-regime bestaat voor IP-backed securitisatie, en dat de hervormingsvoorstellen van 2025 algemene fricties wegnemen zonder reeds een specifiek enabling framework voor IP-backed producten te creëren. Voor IP-gedekte leningen zijn de juridische randvoorwaarden complex:</w:t>
      </w:r>
    </w:p>
    <w:p w14:paraId="428EC992" w14:textId="77777777" w:rsidR="00510D38" w:rsidRDefault="00000000">
      <w:pPr>
        <w:pStyle w:val="Lijstalinea"/>
        <w:numPr>
          <w:ilvl w:val="0"/>
          <w:numId w:val="2"/>
        </w:numPr>
        <w:spacing w:after="100"/>
      </w:pPr>
      <w:r>
        <w:rPr>
          <w:color w:val="3D3530"/>
          <w:sz w:val="21"/>
          <w:szCs w:val="21"/>
        </w:rPr>
        <w:t>Verordening (EU) 2017/2402 (de Europese Securitisatieverordening)</w:t>
      </w:r>
      <w:r>
        <w:rPr>
          <w:i/>
          <w:iCs/>
          <w:color w:val="6B635D"/>
          <w:sz w:val="21"/>
          <w:szCs w:val="21"/>
        </w:rPr>
        <w:t xml:space="preserve"> — vereist transparantie, homogeniteit van de onderliggende blootstellingen en uitgebreide due diligence-verplichtingen. IE-activa voldoen moeilijk aan de strenge homogeniteits- en transparantievereisten voor eenvoudige, transparante en gestandaardiseerde (STS-)securitisatie.</w:t>
      </w:r>
    </w:p>
    <w:p w14:paraId="7AD7CDD0" w14:textId="77777777" w:rsidR="00510D38" w:rsidRDefault="00000000">
      <w:pPr>
        <w:pStyle w:val="Lijstalinea"/>
        <w:numPr>
          <w:ilvl w:val="0"/>
          <w:numId w:val="2"/>
        </w:numPr>
        <w:spacing w:after="100"/>
      </w:pPr>
      <w:r>
        <w:rPr>
          <w:color w:val="3D3530"/>
          <w:sz w:val="21"/>
          <w:szCs w:val="21"/>
        </w:rPr>
        <w:t>Kapitaalvereisten voor originators en sponsors</w:t>
      </w:r>
      <w:r>
        <w:rPr>
          <w:i/>
          <w:iCs/>
          <w:color w:val="6B635D"/>
          <w:sz w:val="21"/>
          <w:szCs w:val="21"/>
        </w:rPr>
        <w:t xml:space="preserve"> — onder CRR III blijven van toepassing; de risicoretentieplicht (art. 6 Securitisatieverordening — minimaal 5% netto economisch belang) beperkt de volledige overdracht van kredietrisico.</w:t>
      </w:r>
    </w:p>
    <w:p w14:paraId="43FF945B" w14:textId="77777777" w:rsidR="00510D38" w:rsidRDefault="00000000">
      <w:pPr>
        <w:pStyle w:val="Lijstalinea"/>
        <w:numPr>
          <w:ilvl w:val="0"/>
          <w:numId w:val="2"/>
        </w:numPr>
        <w:spacing w:after="100"/>
      </w:pPr>
      <w:r>
        <w:rPr>
          <w:color w:val="3D3530"/>
          <w:sz w:val="21"/>
          <w:szCs w:val="21"/>
        </w:rPr>
        <w:t>DLT Pilot Regime (Verordening (EU) 2022/858)</w:t>
      </w:r>
      <w:r>
        <w:rPr>
          <w:i/>
          <w:iCs/>
          <w:color w:val="6B635D"/>
          <w:sz w:val="21"/>
          <w:szCs w:val="21"/>
        </w:rPr>
        <w:t xml:space="preserve"> — biedt een experimenteel kader voor de uitgifte en verhandeling van DLT-gebaseerde financiële instrumenten. Het rapport noemt dit als mogelijke toekomstige richting voor tokenisatie van IP-backed securities, zonder daaraan </w:t>
      </w:r>
      <w:proofErr w:type="gramStart"/>
      <w:r>
        <w:rPr>
          <w:i/>
          <w:iCs/>
          <w:color w:val="6B635D"/>
          <w:sz w:val="21"/>
          <w:szCs w:val="21"/>
        </w:rPr>
        <w:t>reeds</w:t>
      </w:r>
      <w:proofErr w:type="gramEnd"/>
      <w:r>
        <w:rPr>
          <w:i/>
          <w:iCs/>
          <w:color w:val="6B635D"/>
          <w:sz w:val="21"/>
          <w:szCs w:val="21"/>
        </w:rPr>
        <w:t xml:space="preserve"> juridische conclusies te verbinden.</w:t>
      </w:r>
    </w:p>
    <w:p w14:paraId="3EEB4133" w14:textId="77777777" w:rsidR="00510D38" w:rsidRDefault="00510D38">
      <w:pPr>
        <w:spacing w:before="80"/>
      </w:pPr>
    </w:p>
    <w:p w14:paraId="623108B5" w14:textId="77777777" w:rsidR="00510D38" w:rsidRDefault="00000000">
      <w:pPr>
        <w:spacing w:after="180"/>
        <w:jc w:val="both"/>
      </w:pPr>
      <w:r>
        <w:rPr>
          <w:color w:val="3D3530"/>
        </w:rPr>
        <w:t>Het rapport beveelt nader onderzoek aan naar de haalbaarheid van IP-backed securitisatie, mede in samenhang met de mogelijke aanpassing van de Securitisatieverordening in het kader van de Spaargelden- en Investeringsunie.</w:t>
      </w:r>
    </w:p>
    <w:p w14:paraId="0E27F707" w14:textId="77777777" w:rsidR="00510D38" w:rsidRDefault="00000000">
      <w:pPr>
        <w:pStyle w:val="Kop1"/>
        <w:pBdr>
          <w:top w:val="single" w:sz="12" w:space="0" w:color="1A1614"/>
        </w:pBdr>
      </w:pPr>
      <w:r>
        <w:t>6. De Spaargelden- en Investeringsunie als kader</w:t>
      </w:r>
    </w:p>
    <w:p w14:paraId="2E3C70E8" w14:textId="3F02CEF1" w:rsidR="00510D38" w:rsidRDefault="00000000">
      <w:pPr>
        <w:spacing w:after="180"/>
        <w:jc w:val="both"/>
      </w:pPr>
      <w:r>
        <w:rPr>
          <w:color w:val="3D3530"/>
        </w:rPr>
        <w:t xml:space="preserve">Europa is momenteel bezig met </w:t>
      </w:r>
      <w:r w:rsidR="0056440A">
        <w:rPr>
          <w:color w:val="3D3530"/>
        </w:rPr>
        <w:t>het ontwerp</w:t>
      </w:r>
      <w:r>
        <w:rPr>
          <w:color w:val="3D3530"/>
        </w:rPr>
        <w:t xml:space="preserve"> van de meest ambitieuze kapitaalmobilisering in zijn recente geschiedenis: de Spaargelden- en Investeringsunie (SIU). De vijf geprioriteerde maatregelen in het EUIPO-rapport bepalen in hoeverre het SIU-dividend daadwerkelijk ten goede komt aan innovatieve Europese ondernemingen. Zonder adequate openbaarmaking, waardering en </w:t>
      </w:r>
      <w:r w:rsidR="0056440A">
        <w:rPr>
          <w:color w:val="3D3530"/>
        </w:rPr>
        <w:t>risicodeling mechanismen</w:t>
      </w:r>
      <w:r>
        <w:rPr>
          <w:color w:val="3D3530"/>
        </w:rPr>
        <w:t xml:space="preserve"> zal vrijgekomen kapitaal niet naar kennisintensieve ondernemingen stromen, maar naar sectoren met gevestigd onderpand of naar markten met een rijpere infrastructuur.</w:t>
      </w:r>
    </w:p>
    <w:p w14:paraId="5FC431F2" w14:textId="77777777" w:rsidR="00510D38" w:rsidRDefault="00510D38">
      <w:pPr>
        <w:spacing w:before="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510D38" w14:paraId="61583F53" w14:textId="77777777">
        <w:tblPrEx>
          <w:tblCellMar>
            <w:top w:w="0" w:type="dxa"/>
            <w:bottom w:w="0" w:type="dxa"/>
          </w:tblCellMar>
        </w:tblPrEx>
        <w:tc>
          <w:tcPr>
            <w:tcW w:w="9026" w:type="dxa"/>
            <w:tcBorders>
              <w:top w:val="none" w:sz="0" w:space="0" w:color="FFFFFF"/>
              <w:left w:val="single" w:sz="20" w:space="0" w:color="B8892A"/>
              <w:bottom w:val="none" w:sz="0" w:space="0" w:color="FFFFFF"/>
              <w:right w:val="none" w:sz="0" w:space="0" w:color="FFFFFF"/>
            </w:tcBorders>
            <w:shd w:val="clear" w:color="auto" w:fill="F2EDE6"/>
            <w:tcMar>
              <w:top w:w="160" w:type="dxa"/>
              <w:left w:w="280" w:type="dxa"/>
              <w:bottom w:w="160" w:type="dxa"/>
              <w:right w:w="160" w:type="dxa"/>
            </w:tcMar>
          </w:tcPr>
          <w:p w14:paraId="04BCFD90" w14:textId="77777777" w:rsidR="00510D38" w:rsidRDefault="00000000">
            <w:r>
              <w:rPr>
                <w:rFonts w:ascii="Georgia" w:eastAsia="Georgia" w:hAnsi="Georgia" w:cs="Georgia"/>
                <w:i/>
                <w:iCs/>
                <w:color w:val="1A1614"/>
                <w:sz w:val="24"/>
                <w:szCs w:val="24"/>
              </w:rPr>
              <w:t>Vrijgekomen kapitaal stroomt vanzelf naar plaatsen waar het kan worden beoordeeld, geprijsd en ingezet met vertrouwen. Zonder de juiste IE-infrastructuur zal het SIU-dividend niet bij innovatieve Europese bedrijven terechtkomen.</w:t>
            </w:r>
          </w:p>
        </w:tc>
      </w:tr>
    </w:tbl>
    <w:p w14:paraId="11822DF8" w14:textId="77777777" w:rsidR="00510D38" w:rsidRDefault="00510D38">
      <w:pPr>
        <w:spacing w:before="120"/>
      </w:pPr>
    </w:p>
    <w:p w14:paraId="4A2A3C44" w14:textId="77777777" w:rsidR="00510D38" w:rsidRDefault="00000000">
      <w:pPr>
        <w:spacing w:after="180"/>
        <w:jc w:val="both"/>
      </w:pPr>
      <w:r>
        <w:rPr>
          <w:color w:val="3D3530"/>
        </w:rPr>
        <w:t>De Europese Commissie heeft reeds een reeks complementaire initiatieven gelanceerd:</w:t>
      </w:r>
    </w:p>
    <w:p w14:paraId="5156C6E2" w14:textId="77777777" w:rsidR="00510D38" w:rsidRDefault="00000000">
      <w:pPr>
        <w:pStyle w:val="Lijstalinea"/>
        <w:numPr>
          <w:ilvl w:val="0"/>
          <w:numId w:val="2"/>
        </w:numPr>
        <w:spacing w:after="100"/>
      </w:pPr>
      <w:r>
        <w:rPr>
          <w:color w:val="3D3530"/>
          <w:sz w:val="21"/>
          <w:szCs w:val="21"/>
        </w:rPr>
        <w:t>InvestEU-programma</w:t>
      </w:r>
      <w:r>
        <w:rPr>
          <w:i/>
          <w:iCs/>
          <w:color w:val="6B635D"/>
          <w:sz w:val="21"/>
          <w:szCs w:val="21"/>
        </w:rPr>
        <w:t xml:space="preserve"> — beoogde mobilisering van meer dan 372 miljard euro aan private investeringen</w:t>
      </w:r>
    </w:p>
    <w:p w14:paraId="09189F33" w14:textId="77777777" w:rsidR="00510D38" w:rsidRDefault="00000000">
      <w:pPr>
        <w:pStyle w:val="Lijstalinea"/>
        <w:numPr>
          <w:ilvl w:val="0"/>
          <w:numId w:val="2"/>
        </w:numPr>
        <w:spacing w:after="100"/>
      </w:pPr>
      <w:r>
        <w:rPr>
          <w:color w:val="3D3530"/>
          <w:sz w:val="21"/>
          <w:szCs w:val="21"/>
        </w:rPr>
        <w:lastRenderedPageBreak/>
        <w:t>EIC-fonds</w:t>
      </w:r>
      <w:r>
        <w:rPr>
          <w:i/>
          <w:iCs/>
          <w:color w:val="6B635D"/>
          <w:sz w:val="21"/>
          <w:szCs w:val="21"/>
        </w:rPr>
        <w:t xml:space="preserve"> — budget van 10,1 miljard euro voor 2021–2027</w:t>
      </w:r>
    </w:p>
    <w:p w14:paraId="10A02BDD" w14:textId="77777777" w:rsidR="00510D38" w:rsidRDefault="00000000">
      <w:pPr>
        <w:pStyle w:val="Lijstalinea"/>
        <w:numPr>
          <w:ilvl w:val="0"/>
          <w:numId w:val="2"/>
        </w:numPr>
        <w:spacing w:after="100"/>
      </w:pPr>
      <w:r>
        <w:rPr>
          <w:color w:val="3D3530"/>
          <w:sz w:val="21"/>
          <w:szCs w:val="21"/>
        </w:rPr>
        <w:t>Scaleup Europe Fund</w:t>
      </w:r>
      <w:r>
        <w:rPr>
          <w:i/>
          <w:iCs/>
          <w:color w:val="6B635D"/>
          <w:sz w:val="21"/>
          <w:szCs w:val="21"/>
        </w:rPr>
        <w:t xml:space="preserve"> — gericht op groeifinanciering voor Europese scale-ups</w:t>
      </w:r>
    </w:p>
    <w:p w14:paraId="6BBF89EF" w14:textId="77777777" w:rsidR="00510D38" w:rsidRDefault="00000000">
      <w:pPr>
        <w:pStyle w:val="Lijstalinea"/>
        <w:numPr>
          <w:ilvl w:val="0"/>
          <w:numId w:val="2"/>
        </w:numPr>
        <w:spacing w:after="100"/>
      </w:pPr>
      <w:r>
        <w:rPr>
          <w:color w:val="3D3530"/>
          <w:sz w:val="21"/>
          <w:szCs w:val="21"/>
        </w:rPr>
        <w:t>TechEU-platform (EIB)</w:t>
      </w:r>
      <w:r>
        <w:rPr>
          <w:i/>
          <w:iCs/>
          <w:color w:val="6B635D"/>
          <w:sz w:val="21"/>
          <w:szCs w:val="21"/>
        </w:rPr>
        <w:t xml:space="preserve"> — beoogt tegen 2027 70 miljard euro aan startupfinanciering</w:t>
      </w:r>
    </w:p>
    <w:p w14:paraId="2E1B8F0F" w14:textId="77777777" w:rsidR="00510D38" w:rsidRDefault="00510D38">
      <w:pPr>
        <w:spacing w:before="100"/>
      </w:pPr>
    </w:p>
    <w:p w14:paraId="724C0864" w14:textId="77777777" w:rsidR="00510D38" w:rsidRDefault="00000000">
      <w:pPr>
        <w:spacing w:after="180"/>
        <w:jc w:val="both"/>
      </w:pPr>
      <w:r>
        <w:rPr>
          <w:color w:val="3D3530"/>
        </w:rPr>
        <w:t xml:space="preserve">Voorts vermeldt het rapport dat de Europese Commissie op 18 maart 2026 een voorstel heeft ingediend voor de EU </w:t>
      </w:r>
      <w:proofErr w:type="spellStart"/>
      <w:r>
        <w:rPr>
          <w:color w:val="3D3530"/>
        </w:rPr>
        <w:t>Inc</w:t>
      </w:r>
      <w:proofErr w:type="spellEnd"/>
      <w:r>
        <w:rPr>
          <w:color w:val="3D3530"/>
        </w:rPr>
        <w:t>-verordening (COM(2026) 321) — een supranationaal vennootschapsrechtelijk kader dat, indien aangenomen, bijzonder geschikt zou zijn voor IE-intensieve startups. Het voorstel kent geen minimumkapitaalvereiste, voorziet in geharmoniseerde regels voor aandeelhoudersrechten en oprichting, en sluit aan bij de BRIS-infrastructuur voor grensoverschrijdende registratie. Ten tijde van het rapport bevond dit wetgevingsvoorstel zich in de beginfase van het EU-besluitvormingsproces en was het nog niet aangenomen.</w:t>
      </w:r>
    </w:p>
    <w:p w14:paraId="69EACB47" w14:textId="77777777" w:rsidR="00510D38" w:rsidRDefault="00000000">
      <w:pPr>
        <w:pStyle w:val="Kop1"/>
        <w:pBdr>
          <w:top w:val="single" w:sz="12" w:space="0" w:color="1A1614"/>
        </w:pBdr>
      </w:pPr>
      <w:r>
        <w:t>7. Conclusie</w:t>
      </w:r>
    </w:p>
    <w:p w14:paraId="6F8552CF" w14:textId="77777777" w:rsidR="00510D38" w:rsidRDefault="00000000">
      <w:pPr>
        <w:spacing w:after="180"/>
        <w:jc w:val="both"/>
      </w:pPr>
      <w:r>
        <w:rPr>
          <w:color w:val="3D3530"/>
        </w:rPr>
        <w:t>Het EUIPO-rapport van april 2026 presenteert een gestructureerde visie op de integratie van intellectueel eigendom als erkend financieel actief in de Europese financiële praktijk. De bevindingen zijn helder: de belemmeringen zijn structureel, onderling versterkend en werkzaam gedurende de gehele innovatiecyclus. Ze kunnen niet worden weggenomen door afzonderlijke maatregelen, maar vereisen een coherent en gefaseerd systeem.</w:t>
      </w:r>
    </w:p>
    <w:p w14:paraId="68C6BE3E" w14:textId="77777777" w:rsidR="00510D38" w:rsidRDefault="00000000">
      <w:pPr>
        <w:spacing w:after="180"/>
        <w:jc w:val="both"/>
      </w:pPr>
      <w:r>
        <w:rPr>
          <w:color w:val="3D3530"/>
        </w:rPr>
        <w:t>De vijf geprioriteerde acties — maak IE zichtbaar, ken geloofwaardige waarde toe, zet IE-waarde om in kredietverlening, bouw een bewijsbasis, en versterk coördinatie — zijn onderling afhankelijk en cumulatief: elk element versterkt het volgende. Samen vormen zij de minimale levensvatbare infrastructuur voor een functioneel Europees IP-financieringssysteem.</w:t>
      </w:r>
    </w:p>
    <w:p w14:paraId="2B7D31DB" w14:textId="77777777" w:rsidR="00510D38" w:rsidRDefault="00000000">
      <w:pPr>
        <w:spacing w:after="180"/>
        <w:jc w:val="both"/>
      </w:pPr>
      <w:r>
        <w:rPr>
          <w:color w:val="3D3530"/>
        </w:rPr>
        <w:t>Voortgang vereist gecoördineerde actie van nationale en Europese instellingen, IE-bureaus, financiële toezichthouders (EBA, ESMA, ECB), waarderingsprofessionals en de private sector. De urgentie is helder: de SIU is in aanbouw, de hervormingen zijn in gang gezet, en het moment om de IE-financieringsinfrastructuur te bouwen is nu.</w:t>
      </w:r>
    </w:p>
    <w:p w14:paraId="7CEE7685" w14:textId="77777777" w:rsidR="00510D38" w:rsidRDefault="00510D38">
      <w:pPr>
        <w:spacing w:before="240"/>
      </w:pPr>
    </w:p>
    <w:p w14:paraId="6345D5F5" w14:textId="77777777" w:rsidR="00510D38" w:rsidRDefault="00000000">
      <w:pPr>
        <w:pBdr>
          <w:top w:val="single" w:sz="4" w:space="0" w:color="D6CFC8"/>
        </w:pBdr>
        <w:spacing w:before="240" w:after="120"/>
      </w:pPr>
      <w:r>
        <w:rPr>
          <w:rFonts w:ascii="Georgia" w:eastAsia="Georgia" w:hAnsi="Georgia" w:cs="Georgia"/>
          <w:b/>
          <w:bCs/>
          <w:color w:val="1A1614"/>
        </w:rPr>
        <w:t>Bronvermelding en juridische verantwoording</w:t>
      </w:r>
    </w:p>
    <w:p w14:paraId="092E0BC6" w14:textId="77777777" w:rsidR="00510D38" w:rsidRDefault="00000000">
      <w:pPr>
        <w:spacing w:after="100"/>
      </w:pPr>
      <w:r>
        <w:rPr>
          <w:color w:val="6B635D"/>
          <w:sz w:val="19"/>
          <w:szCs w:val="19"/>
        </w:rPr>
        <w:t xml:space="preserve">Dit artikel is een samenvattende analyse van: </w:t>
      </w:r>
      <w:r>
        <w:rPr>
          <w:b/>
          <w:bCs/>
          <w:i/>
          <w:iCs/>
          <w:color w:val="3D3530"/>
          <w:sz w:val="19"/>
          <w:szCs w:val="19"/>
        </w:rPr>
        <w:t>IP-Backed Finance Report 2026</w:t>
      </w:r>
      <w:r>
        <w:rPr>
          <w:color w:val="6B635D"/>
          <w:sz w:val="19"/>
          <w:szCs w:val="19"/>
        </w:rPr>
        <w:t>, gepubliceerd door het European Union Intellectual Property Office (EUIPO), april 2026. Alle statistieken, juridische verwijzingen en beleidsaanbevelingen zijn ontleend aan dit rapport.</w:t>
      </w:r>
    </w:p>
    <w:p w14:paraId="46865065" w14:textId="77777777" w:rsidR="00510D38" w:rsidRDefault="00000000">
      <w:pPr>
        <w:spacing w:after="100"/>
      </w:pPr>
      <w:r>
        <w:rPr>
          <w:color w:val="6B635D"/>
          <w:sz w:val="18"/>
          <w:szCs w:val="18"/>
        </w:rPr>
        <w:t xml:space="preserve">Geciteerde regelgeving en instrumenten: UNCITRAL Legislative Guide on Secured Transactions (2010); UNCITRAL Model Law on Secured Transactions (2016); Cape Town Convention (2001); IAS 38; IVS 210; Richtlijn (EU) 2019/1023; COM(2022) 702 (Commissievoorstel insolventierecht); Verordening (EU) 2024/1623 (CRR III, van toepassing per 1 januari 2025); Richtlijn (EU) 2024/1619 (CRD VI); Verordening (EU) 2017/2402 (Securitisatieverordening); Verordening (EU) 2022/858 (DLT Pilot Regime); Richtlijn 2002/47/EG (Financial Collateral </w:t>
      </w:r>
      <w:proofErr w:type="spellStart"/>
      <w:r>
        <w:rPr>
          <w:color w:val="6B635D"/>
          <w:sz w:val="18"/>
          <w:szCs w:val="18"/>
        </w:rPr>
        <w:t>Arrangements</w:t>
      </w:r>
      <w:proofErr w:type="spellEnd"/>
      <w:r>
        <w:rPr>
          <w:color w:val="6B635D"/>
          <w:sz w:val="18"/>
          <w:szCs w:val="18"/>
        </w:rPr>
        <w:t xml:space="preserve">); Richtlijn 2004/48/EG (Handhavingsrichtlijn IE); COM(2026) 321 (EU </w:t>
      </w:r>
      <w:proofErr w:type="spellStart"/>
      <w:r>
        <w:rPr>
          <w:color w:val="6B635D"/>
          <w:sz w:val="18"/>
          <w:szCs w:val="18"/>
        </w:rPr>
        <w:t>Inc</w:t>
      </w:r>
      <w:proofErr w:type="spellEnd"/>
      <w:r>
        <w:rPr>
          <w:color w:val="6B635D"/>
          <w:sz w:val="18"/>
          <w:szCs w:val="18"/>
        </w:rPr>
        <w:t>-voorstel). Empirisch onderzoek: Gill &amp; Heller (2024).</w:t>
      </w:r>
    </w:p>
    <w:p w14:paraId="29C705A4" w14:textId="77777777" w:rsidR="00510D38" w:rsidRDefault="00000000">
      <w:r>
        <w:rPr>
          <w:i/>
          <w:iCs/>
          <w:color w:val="6B635D"/>
          <w:sz w:val="18"/>
          <w:szCs w:val="18"/>
        </w:rPr>
        <w:t xml:space="preserve">Dit artikel heeft een informatief karakter en vormt geen juridisch advies. Raadpleeg een gekwalificeerd jurist voor specifieke rechtsvragen </w:t>
      </w:r>
      <w:proofErr w:type="gramStart"/>
      <w:r>
        <w:rPr>
          <w:i/>
          <w:iCs/>
          <w:color w:val="6B635D"/>
          <w:sz w:val="18"/>
          <w:szCs w:val="18"/>
        </w:rPr>
        <w:t>betreffende</w:t>
      </w:r>
      <w:proofErr w:type="gramEnd"/>
      <w:r>
        <w:rPr>
          <w:i/>
          <w:iCs/>
          <w:color w:val="6B635D"/>
          <w:sz w:val="18"/>
          <w:szCs w:val="18"/>
        </w:rPr>
        <w:t xml:space="preserve"> IE-financiering of zekerheidsrechten.</w:t>
      </w:r>
    </w:p>
    <w:sectPr w:rsidR="00510D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529"/>
    <w:multiLevelType w:val="hybridMultilevel"/>
    <w:tmpl w:val="7EDE72B0"/>
    <w:lvl w:ilvl="0" w:tplc="375AD87C">
      <w:start w:val="1"/>
      <w:numFmt w:val="bullet"/>
      <w:lvlText w:val="●"/>
      <w:lvlJc w:val="left"/>
      <w:pPr>
        <w:ind w:left="720" w:hanging="360"/>
      </w:pPr>
    </w:lvl>
    <w:lvl w:ilvl="1" w:tplc="8E62A858">
      <w:start w:val="1"/>
      <w:numFmt w:val="bullet"/>
      <w:lvlText w:val="○"/>
      <w:lvlJc w:val="left"/>
      <w:pPr>
        <w:ind w:left="1440" w:hanging="360"/>
      </w:pPr>
    </w:lvl>
    <w:lvl w:ilvl="2" w:tplc="D96A2FA6">
      <w:start w:val="1"/>
      <w:numFmt w:val="bullet"/>
      <w:lvlText w:val="■"/>
      <w:lvlJc w:val="left"/>
      <w:pPr>
        <w:ind w:left="2160" w:hanging="360"/>
      </w:pPr>
    </w:lvl>
    <w:lvl w:ilvl="3" w:tplc="55A4D34E">
      <w:start w:val="1"/>
      <w:numFmt w:val="bullet"/>
      <w:lvlText w:val="●"/>
      <w:lvlJc w:val="left"/>
      <w:pPr>
        <w:ind w:left="2880" w:hanging="360"/>
      </w:pPr>
    </w:lvl>
    <w:lvl w:ilvl="4" w:tplc="F606109A">
      <w:start w:val="1"/>
      <w:numFmt w:val="bullet"/>
      <w:lvlText w:val="○"/>
      <w:lvlJc w:val="left"/>
      <w:pPr>
        <w:ind w:left="3600" w:hanging="360"/>
      </w:pPr>
    </w:lvl>
    <w:lvl w:ilvl="5" w:tplc="3384C1A0">
      <w:start w:val="1"/>
      <w:numFmt w:val="bullet"/>
      <w:lvlText w:val="■"/>
      <w:lvlJc w:val="left"/>
      <w:pPr>
        <w:ind w:left="4320" w:hanging="360"/>
      </w:pPr>
    </w:lvl>
    <w:lvl w:ilvl="6" w:tplc="9A5C59EE">
      <w:start w:val="1"/>
      <w:numFmt w:val="bullet"/>
      <w:lvlText w:val="●"/>
      <w:lvlJc w:val="left"/>
      <w:pPr>
        <w:ind w:left="5040" w:hanging="360"/>
      </w:pPr>
    </w:lvl>
    <w:lvl w:ilvl="7" w:tplc="700CFCEE">
      <w:start w:val="1"/>
      <w:numFmt w:val="bullet"/>
      <w:lvlText w:val="●"/>
      <w:lvlJc w:val="left"/>
      <w:pPr>
        <w:ind w:left="5760" w:hanging="360"/>
      </w:pPr>
    </w:lvl>
    <w:lvl w:ilvl="8" w:tplc="C3C2731E">
      <w:start w:val="1"/>
      <w:numFmt w:val="bullet"/>
      <w:lvlText w:val="●"/>
      <w:lvlJc w:val="left"/>
      <w:pPr>
        <w:ind w:left="6480" w:hanging="360"/>
      </w:pPr>
    </w:lvl>
  </w:abstractNum>
  <w:abstractNum w:abstractNumId="1" w15:restartNumberingAfterBreak="0">
    <w:nsid w:val="25BA1B7E"/>
    <w:multiLevelType w:val="hybridMultilevel"/>
    <w:tmpl w:val="E39ED3CC"/>
    <w:lvl w:ilvl="0" w:tplc="F024374E">
      <w:start w:val="1"/>
      <w:numFmt w:val="bullet"/>
      <w:lvlText w:val="–"/>
      <w:lvlJc w:val="left"/>
      <w:pPr>
        <w:ind w:left="540" w:hanging="300"/>
      </w:pPr>
    </w:lvl>
    <w:lvl w:ilvl="1" w:tplc="3446C58A">
      <w:numFmt w:val="decimal"/>
      <w:lvlText w:val=""/>
      <w:lvlJc w:val="left"/>
    </w:lvl>
    <w:lvl w:ilvl="2" w:tplc="DCC28306">
      <w:numFmt w:val="decimal"/>
      <w:lvlText w:val=""/>
      <w:lvlJc w:val="left"/>
    </w:lvl>
    <w:lvl w:ilvl="3" w:tplc="FAF2A4C0">
      <w:numFmt w:val="decimal"/>
      <w:lvlText w:val=""/>
      <w:lvlJc w:val="left"/>
    </w:lvl>
    <w:lvl w:ilvl="4" w:tplc="E14A8104">
      <w:numFmt w:val="decimal"/>
      <w:lvlText w:val=""/>
      <w:lvlJc w:val="left"/>
    </w:lvl>
    <w:lvl w:ilvl="5" w:tplc="DF2E8438">
      <w:numFmt w:val="decimal"/>
      <w:lvlText w:val=""/>
      <w:lvlJc w:val="left"/>
    </w:lvl>
    <w:lvl w:ilvl="6" w:tplc="D060950A">
      <w:numFmt w:val="decimal"/>
      <w:lvlText w:val=""/>
      <w:lvlJc w:val="left"/>
    </w:lvl>
    <w:lvl w:ilvl="7" w:tplc="240432BC">
      <w:numFmt w:val="decimal"/>
      <w:lvlText w:val=""/>
      <w:lvlJc w:val="left"/>
    </w:lvl>
    <w:lvl w:ilvl="8" w:tplc="B582ED1A">
      <w:numFmt w:val="decimal"/>
      <w:lvlText w:val=""/>
      <w:lvlJc w:val="left"/>
    </w:lvl>
  </w:abstractNum>
  <w:num w:numId="1" w16cid:durableId="546533123">
    <w:abstractNumId w:val="0"/>
    <w:lvlOverride w:ilvl="0">
      <w:startOverride w:val="1"/>
    </w:lvlOverride>
  </w:num>
  <w:num w:numId="2" w16cid:durableId="59050527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D38"/>
    <w:rsid w:val="00480E45"/>
    <w:rsid w:val="00510D38"/>
    <w:rsid w:val="0056440A"/>
    <w:rsid w:val="005B54EF"/>
    <w:rsid w:val="006F601E"/>
    <w:rsid w:val="00AD5320"/>
    <w:rsid w:val="00B602F5"/>
    <w:rsid w:val="00E3185B"/>
    <w:rsid w:val="00F431F5"/>
    <w:rsid w:val="00F96C0D"/>
    <w:rsid w:val="00FC3F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512DBC9"/>
  <w15:docId w15:val="{77EA8153-38CD-FF46-912E-455E8043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480" w:after="160"/>
      <w:outlineLvl w:val="0"/>
    </w:pPr>
    <w:rPr>
      <w:rFonts w:ascii="Georgia" w:eastAsia="Georgia" w:hAnsi="Georgia" w:cs="Georgia"/>
      <w:b/>
      <w:bCs/>
      <w:color w:val="1A1614"/>
      <w:sz w:val="32"/>
      <w:szCs w:val="32"/>
    </w:rPr>
  </w:style>
  <w:style w:type="paragraph" w:styleId="Kop2">
    <w:name w:val="heading 2"/>
    <w:uiPriority w:val="9"/>
    <w:unhideWhenUsed/>
    <w:qFormat/>
    <w:pPr>
      <w:spacing w:before="320" w:after="120"/>
      <w:outlineLvl w:val="1"/>
    </w:pPr>
    <w:rPr>
      <w:rFonts w:ascii="Georgia" w:eastAsia="Georgia" w:hAnsi="Georgia" w:cs="Georgia"/>
      <w:b/>
      <w:bCs/>
      <w:i/>
      <w:iCs/>
      <w:color w:val="8B3A2A"/>
      <w:sz w:val="26"/>
      <w:szCs w:val="26"/>
    </w:rPr>
  </w:style>
  <w:style w:type="paragraph" w:styleId="Kop3">
    <w:name w:val="heading 3"/>
    <w:uiPriority w:val="9"/>
    <w:semiHidden/>
    <w:unhideWhenUsed/>
    <w:qFormat/>
    <w:pPr>
      <w:spacing w:before="240" w:after="100"/>
      <w:outlineLvl w:val="2"/>
    </w:pPr>
    <w:rPr>
      <w:rFonts w:ascii="Georgia" w:eastAsia="Georgia" w:hAnsi="Georgia" w:cs="Georgia"/>
      <w:b/>
      <w:bCs/>
      <w:color w:val="3D3530"/>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3824</Words>
  <Characters>21036</Characters>
  <Application>Microsoft Office Word</Application>
  <DocSecurity>0</DocSecurity>
  <Lines>175</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Dolman, R. (Roos)</cp:lastModifiedBy>
  <cp:revision>8</cp:revision>
  <dcterms:created xsi:type="dcterms:W3CDTF">2026-04-20T12:59:00Z</dcterms:created>
  <dcterms:modified xsi:type="dcterms:W3CDTF">2026-04-21T08:24:00Z</dcterms:modified>
</cp:coreProperties>
</file>